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2156" w14:textId="77777777" w:rsidR="005F1BF7" w:rsidRDefault="005F1BF7">
      <w:pPr>
        <w:pStyle w:val="Heading19"/>
        <w:jc w:val="right"/>
      </w:pPr>
      <w:r>
        <w:t>Rule 3.8A</w:t>
      </w:r>
    </w:p>
    <w:p w14:paraId="60C89FEF" w14:textId="77777777" w:rsidR="005F1BF7" w:rsidRDefault="005F1BF7">
      <w:pPr>
        <w:pStyle w:val="Heading1"/>
      </w:pPr>
      <w:r>
        <w:t>Appendix 3F</w:t>
      </w:r>
    </w:p>
    <w:p w14:paraId="0BAC6D71" w14:textId="77777777" w:rsidR="005F1BF7" w:rsidRDefault="005F1BF7">
      <w:pPr>
        <w:jc w:val="center"/>
        <w:rPr>
          <w:rFonts w:ascii="Helvetica" w:hAnsi="Helvetica"/>
        </w:rPr>
      </w:pPr>
    </w:p>
    <w:p w14:paraId="70EF44D1" w14:textId="77777777" w:rsidR="005F1BF7" w:rsidRDefault="005F1BF7">
      <w:pPr>
        <w:pStyle w:val="Heading2"/>
        <w:jc w:val="center"/>
      </w:pPr>
      <w:r>
        <w:t xml:space="preserve">Final </w:t>
      </w:r>
      <w:proofErr w:type="gramStart"/>
      <w:r>
        <w:t>share</w:t>
      </w:r>
      <w:proofErr w:type="gramEnd"/>
      <w:r>
        <w:t xml:space="preserve"> buy-back notice</w:t>
      </w:r>
    </w:p>
    <w:p w14:paraId="262FEBAE" w14:textId="77777777" w:rsidR="005F1BF7" w:rsidRDefault="005F1BF7">
      <w:pPr>
        <w:pStyle w:val="Heading2"/>
        <w:jc w:val="center"/>
      </w:pPr>
      <w:r>
        <w:t>(</w:t>
      </w:r>
      <w:r>
        <w:rPr>
          <w:i/>
        </w:rPr>
        <w:t>except</w:t>
      </w:r>
      <w:r>
        <w:t xml:space="preserve"> minimum holding buy-back)</w:t>
      </w:r>
    </w:p>
    <w:p w14:paraId="17713F77" w14:textId="77777777" w:rsidR="005F1BF7" w:rsidRDefault="005F1BF7">
      <w:pPr>
        <w:rPr>
          <w:b/>
          <w:i/>
        </w:rPr>
      </w:pPr>
    </w:p>
    <w:p w14:paraId="6E9C761E" w14:textId="77777777" w:rsidR="005F1BF7" w:rsidRPr="00BB6EED" w:rsidRDefault="005F1BF7">
      <w:pPr>
        <w:pStyle w:val="historytext"/>
        <w:rPr>
          <w:rFonts w:ascii="Times New Roman" w:hAnsi="Times New Roman"/>
        </w:rPr>
      </w:pPr>
      <w:r>
        <w:rPr>
          <w:rFonts w:ascii="Times New Roman" w:hAnsi="Times New Roman"/>
        </w:rPr>
        <w:t>Introduced 1/9/99.  Origin:  Appendice</w:t>
      </w:r>
      <w:r w:rsidR="00BB6EED">
        <w:rPr>
          <w:rFonts w:ascii="Times New Roman" w:hAnsi="Times New Roman"/>
        </w:rPr>
        <w:t>s 7D and 7E.  Amended 30/9/2001</w:t>
      </w:r>
      <w:r w:rsidR="00BB6EED" w:rsidRPr="00BB6EED">
        <w:rPr>
          <w:rFonts w:ascii="Times New Roman" w:hAnsi="Times New Roman"/>
        </w:rPr>
        <w:t>, 11/01/10</w:t>
      </w:r>
    </w:p>
    <w:p w14:paraId="036C5E74" w14:textId="77777777" w:rsidR="005F1BF7" w:rsidRDefault="005F1BF7">
      <w:pPr>
        <w:rPr>
          <w:i/>
          <w:sz w:val="18"/>
        </w:rPr>
      </w:pPr>
    </w:p>
    <w:p w14:paraId="6F703DDD" w14:textId="77777777" w:rsidR="005F1BF7" w:rsidRDefault="005F1BF7">
      <w:pPr>
        <w:pStyle w:val="Heading19"/>
      </w:pPr>
      <w:r>
        <w:t>Information and documents given to ASX become ASX’s property and may be made public.</w:t>
      </w:r>
    </w:p>
    <w:p w14:paraId="40022A31" w14:textId="77777777" w:rsidR="005F1BF7" w:rsidRDefault="005F1BF7"/>
    <w:p w14:paraId="2E196AA6" w14:textId="77777777" w:rsidR="005F1BF7" w:rsidRDefault="005F1BF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124"/>
        <w:gridCol w:w="1861"/>
      </w:tblGrid>
      <w:tr w:rsidR="005F1BF7" w14:paraId="0BBDBF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01D3BC5" w14:textId="77777777" w:rsidR="005F1BF7" w:rsidRDefault="005F1BF7">
            <w:pPr>
              <w:pStyle w:val="Caption-BOX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Name of entity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1C8AC9C3" w14:textId="77777777" w:rsidR="005F1BF7" w:rsidRDefault="005F1BF7">
            <w:pPr>
              <w:pStyle w:val="Caption-BOX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36B0579" w14:textId="77777777" w:rsidR="005F1BF7" w:rsidRPr="00BB6EED" w:rsidRDefault="005F1BF7">
            <w:pPr>
              <w:pStyle w:val="Caption-BOX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ABN</w:t>
            </w:r>
            <w:r w:rsidR="00BB6EED" w:rsidRPr="00BB6EED">
              <w:rPr>
                <w:rFonts w:ascii="Times New Roman" w:hAnsi="Times New Roman"/>
                <w:color w:val="auto"/>
              </w:rPr>
              <w:t>/ARSN</w:t>
            </w:r>
          </w:p>
        </w:tc>
      </w:tr>
      <w:tr w:rsidR="005F1BF7" w14:paraId="353952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1710" w14:textId="77777777" w:rsidR="005F1BF7" w:rsidRDefault="005F1BF7"/>
          <w:p w14:paraId="6CBE80B9" w14:textId="77777777" w:rsidR="005F1BF7" w:rsidRDefault="005F1BF7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635D3716" w14:textId="77777777" w:rsidR="005F1BF7" w:rsidRDefault="005F1BF7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26D4" w14:textId="77777777" w:rsidR="005F1BF7" w:rsidRDefault="005F1BF7"/>
        </w:tc>
      </w:tr>
    </w:tbl>
    <w:p w14:paraId="7326AC5D" w14:textId="77777777" w:rsidR="005F1BF7" w:rsidRDefault="005F1BF7"/>
    <w:p w14:paraId="2DAF57FC" w14:textId="77777777" w:rsidR="005F1BF7" w:rsidRDefault="005F1BF7">
      <w:pPr>
        <w:rPr>
          <w:b/>
        </w:rPr>
      </w:pPr>
      <w:r>
        <w:t>We (the entity) give ASX the following information.</w:t>
      </w:r>
    </w:p>
    <w:p w14:paraId="3ACF1D1D" w14:textId="77777777" w:rsidR="005F1BF7" w:rsidRDefault="005F1BF7">
      <w:pPr>
        <w:pStyle w:val="Heading3"/>
        <w:rPr>
          <w:rFonts w:ascii="Times New Roman" w:hAnsi="Times New Roman"/>
        </w:rPr>
      </w:pPr>
    </w:p>
    <w:p w14:paraId="369CAEB6" w14:textId="77777777" w:rsidR="005F1BF7" w:rsidRDefault="005F1BF7">
      <w:pPr>
        <w:pStyle w:val="Heading3"/>
      </w:pPr>
      <w:r>
        <w:t>Description of buy-back</w:t>
      </w:r>
    </w:p>
    <w:p w14:paraId="33E75967" w14:textId="77777777" w:rsidR="005F1BF7" w:rsidRDefault="005F1BF7">
      <w:pPr>
        <w:ind w:left="720" w:hanging="720"/>
        <w:rPr>
          <w:b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150"/>
        <w:gridCol w:w="4646"/>
      </w:tblGrid>
      <w:tr w:rsidR="005F1BF7" w14:paraId="718C7A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D5DA3BA" w14:textId="77777777" w:rsidR="005F1BF7" w:rsidRDefault="005F1BF7">
            <w:pPr>
              <w:pStyle w:val="boxstyle"/>
            </w:pPr>
            <w: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C5EF236" w14:textId="77777777" w:rsidR="005F1BF7" w:rsidRDefault="005F1BF7">
            <w:pPr>
              <w:pStyle w:val="boxstyle"/>
              <w:rPr>
                <w:position w:val="6"/>
              </w:rPr>
            </w:pPr>
            <w:r>
              <w:rPr>
                <w:position w:val="6"/>
              </w:rPr>
              <w:t>Type of buy-back</w:t>
            </w:r>
          </w:p>
          <w:p w14:paraId="017EBAB7" w14:textId="77777777" w:rsidR="005F1BF7" w:rsidRDefault="005F1BF7">
            <w:pPr>
              <w:pStyle w:val="boxstyle"/>
              <w:rPr>
                <w:position w:val="6"/>
              </w:rPr>
            </w:pP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C1B0" w14:textId="77777777" w:rsidR="005F1BF7" w:rsidRDefault="005F1BF7"/>
        </w:tc>
      </w:tr>
    </w:tbl>
    <w:p w14:paraId="35450FD1" w14:textId="77777777" w:rsidR="005F1BF7" w:rsidRDefault="005F1BF7">
      <w:pPr>
        <w:pStyle w:val="Heading3"/>
        <w:rPr>
          <w:rFonts w:ascii="Times New Roman" w:hAnsi="Times New Roman"/>
          <w:sz w:val="18"/>
        </w:rPr>
      </w:pPr>
    </w:p>
    <w:p w14:paraId="357C9420" w14:textId="77777777" w:rsidR="005F1BF7" w:rsidRDefault="005F1BF7">
      <w:pPr>
        <w:pStyle w:val="Heading3"/>
      </w:pPr>
      <w:r>
        <w:t>Details of all shares</w:t>
      </w:r>
      <w:r w:rsidRPr="005F1BF7">
        <w:t>/units</w:t>
      </w:r>
      <w:r>
        <w:t xml:space="preserve"> bought back</w:t>
      </w:r>
    </w:p>
    <w:p w14:paraId="074B693E" w14:textId="77777777" w:rsidR="005F1BF7" w:rsidRDefault="005F1BF7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150"/>
        <w:gridCol w:w="4646"/>
      </w:tblGrid>
      <w:tr w:rsidR="005F1BF7" w14:paraId="68DEE7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3112C4A" w14:textId="77777777" w:rsidR="005F1BF7" w:rsidRDefault="005F1BF7">
            <w:pPr>
              <w:pStyle w:val="boxstyle"/>
            </w:pPr>
            <w: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4DCF8A2" w14:textId="77777777" w:rsidR="005F1BF7" w:rsidRDefault="005F1BF7">
            <w:pPr>
              <w:pStyle w:val="boxstyle"/>
            </w:pPr>
            <w:r>
              <w:t>Number of shares</w:t>
            </w:r>
            <w:r w:rsidRPr="005F1BF7">
              <w:t>/units</w:t>
            </w:r>
            <w:r>
              <w:t xml:space="preserve"> bought back</w:t>
            </w:r>
          </w:p>
          <w:p w14:paraId="5C3B5277" w14:textId="77777777" w:rsidR="005F1BF7" w:rsidRDefault="005F1BF7">
            <w:pPr>
              <w:pStyle w:val="boxstyle"/>
            </w:pP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838F" w14:textId="77777777" w:rsidR="005F1BF7" w:rsidRDefault="005F1BF7">
            <w:pPr>
              <w:pStyle w:val="boxstyle"/>
              <w:rPr>
                <w:rFonts w:ascii="Times New Roman" w:hAnsi="Times New Roman"/>
              </w:rPr>
            </w:pPr>
          </w:p>
        </w:tc>
      </w:tr>
    </w:tbl>
    <w:p w14:paraId="4A54CED9" w14:textId="77777777" w:rsidR="005F1BF7" w:rsidRDefault="005F1BF7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150"/>
        <w:gridCol w:w="4646"/>
      </w:tblGrid>
      <w:tr w:rsidR="005F1BF7" w14:paraId="2458C1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2904515" w14:textId="77777777" w:rsidR="005F1BF7" w:rsidRDefault="005F1BF7">
            <w:pPr>
              <w:pStyle w:val="boxstyle"/>
            </w:pPr>
            <w: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3B6FFD5" w14:textId="77777777" w:rsidR="005F1BF7" w:rsidRPr="005F1BF7" w:rsidRDefault="005F1BF7">
            <w:pPr>
              <w:pStyle w:val="boxstyle"/>
            </w:pPr>
            <w:r>
              <w:t>Total consideration paid or payable for the shares</w:t>
            </w:r>
            <w:r w:rsidRPr="005F1BF7">
              <w:t>/units</w:t>
            </w:r>
          </w:p>
          <w:p w14:paraId="7E8179F9" w14:textId="77777777" w:rsidR="005F1BF7" w:rsidRDefault="005F1BF7">
            <w:pPr>
              <w:pStyle w:val="boxstyle"/>
            </w:pP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3F5D" w14:textId="77777777" w:rsidR="005F1BF7" w:rsidRDefault="005F1BF7">
            <w:pPr>
              <w:rPr>
                <w:i/>
              </w:rPr>
            </w:pPr>
          </w:p>
        </w:tc>
      </w:tr>
    </w:tbl>
    <w:p w14:paraId="7BF1249E" w14:textId="77777777" w:rsidR="005F1BF7" w:rsidRDefault="005F1BF7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150"/>
        <w:gridCol w:w="4646"/>
      </w:tblGrid>
      <w:tr w:rsidR="005F1BF7" w14:paraId="03964A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D16B8C2" w14:textId="77777777" w:rsidR="005F1BF7" w:rsidRDefault="005F1BF7">
            <w:pPr>
              <w:pStyle w:val="boxstyle"/>
            </w:pPr>
            <w: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BBAD1F5" w14:textId="77777777" w:rsidR="005F1BF7" w:rsidRDefault="005F1BF7">
            <w:pPr>
              <w:pStyle w:val="boxstyle"/>
            </w:pPr>
            <w:r>
              <w:t>If buy-back is an on-market buy-back - highest and lowest price paid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51A2" w14:textId="77777777" w:rsidR="005F1BF7" w:rsidRDefault="005F1BF7">
            <w:r>
              <w:t>highest price:</w:t>
            </w:r>
          </w:p>
          <w:p w14:paraId="71E9A571" w14:textId="77777777" w:rsidR="005F1BF7" w:rsidRDefault="005F1BF7">
            <w:r>
              <w:t>date:</w:t>
            </w:r>
          </w:p>
          <w:p w14:paraId="2B7CC7FA" w14:textId="77777777" w:rsidR="005F1BF7" w:rsidRDefault="005F1BF7"/>
          <w:p w14:paraId="6D109942" w14:textId="77777777" w:rsidR="005F1BF7" w:rsidRDefault="005F1BF7"/>
          <w:p w14:paraId="30D47835" w14:textId="77777777" w:rsidR="005F1BF7" w:rsidRDefault="005F1BF7">
            <w:r>
              <w:t>lowest price:</w:t>
            </w:r>
          </w:p>
          <w:p w14:paraId="62144D36" w14:textId="77777777" w:rsidR="005F1BF7" w:rsidRDefault="005F1BF7">
            <w:r>
              <w:t>date:</w:t>
            </w:r>
          </w:p>
          <w:p w14:paraId="3FE30727" w14:textId="77777777" w:rsidR="005F1BF7" w:rsidRDefault="005F1BF7"/>
        </w:tc>
      </w:tr>
    </w:tbl>
    <w:p w14:paraId="37BA6FDD" w14:textId="77777777" w:rsidR="005F1BF7" w:rsidRDefault="005F1BF7">
      <w:pPr>
        <w:pStyle w:val="Heading3"/>
        <w:rPr>
          <w:rFonts w:ascii="Times New Roman" w:hAnsi="Times New Roman"/>
        </w:rPr>
      </w:pPr>
    </w:p>
    <w:p w14:paraId="0662358C" w14:textId="77777777" w:rsidR="005F1BF7" w:rsidRDefault="005F1BF7">
      <w:pPr>
        <w:pStyle w:val="Heading3"/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lastRenderedPageBreak/>
        <w:t>Compliance statement</w:t>
      </w:r>
    </w:p>
    <w:p w14:paraId="00AD018C" w14:textId="77777777" w:rsidR="005F1BF7" w:rsidRDefault="005F1BF7"/>
    <w:p w14:paraId="0821087E" w14:textId="77777777" w:rsidR="005F1BF7" w:rsidRDefault="005F1BF7">
      <w:r>
        <w:t>1.</w:t>
      </w:r>
      <w:r>
        <w:tab/>
        <w:t xml:space="preserve">The company </w:t>
      </w:r>
      <w:proofErr w:type="gramStart"/>
      <w:r>
        <w:t>is in compliance with</w:t>
      </w:r>
      <w:proofErr w:type="gramEnd"/>
      <w:r>
        <w:t xml:space="preserve"> all Corporations Act requirements relevant to this buy-back.</w:t>
      </w:r>
    </w:p>
    <w:p w14:paraId="764F78D4" w14:textId="77777777" w:rsidR="005F1BF7" w:rsidRDefault="005F1BF7"/>
    <w:p w14:paraId="61DB450D" w14:textId="77777777" w:rsidR="00BB6EED" w:rsidRPr="00F35315" w:rsidRDefault="00BB6EED" w:rsidP="00BB6EED">
      <w:pPr>
        <w:rPr>
          <w:i/>
        </w:rPr>
      </w:pPr>
      <w:r w:rsidRPr="00F35315">
        <w:rPr>
          <w:i/>
        </w:rPr>
        <w:t>or, for trusts only:</w:t>
      </w:r>
    </w:p>
    <w:p w14:paraId="33F4F8D6" w14:textId="77777777" w:rsidR="00BB6EED" w:rsidRDefault="00BB6EED" w:rsidP="00BB6EED"/>
    <w:p w14:paraId="57FAFFE9" w14:textId="77777777" w:rsidR="00BB6EED" w:rsidRDefault="00BB6EED" w:rsidP="00BB6EED">
      <w:pPr>
        <w:ind w:left="850" w:hanging="850"/>
      </w:pPr>
      <w:r>
        <w:t>1.</w:t>
      </w:r>
      <w:r>
        <w:tab/>
        <w:t xml:space="preserve">The trust </w:t>
      </w:r>
      <w:proofErr w:type="gramStart"/>
      <w:r>
        <w:t>is in compliance with</w:t>
      </w:r>
      <w:proofErr w:type="gramEnd"/>
      <w:r>
        <w:t xml:space="preserve"> all requirements of the Corporations Act as modified by Class Order 07/422, and of the trust’s constitution, relevant to this buy-back.</w:t>
      </w:r>
    </w:p>
    <w:p w14:paraId="53386323" w14:textId="77777777" w:rsidR="00BB6EED" w:rsidRDefault="00BB6EED" w:rsidP="00BB6EED">
      <w:pPr>
        <w:ind w:left="720" w:hanging="720"/>
      </w:pPr>
    </w:p>
    <w:p w14:paraId="35401938" w14:textId="77777777" w:rsidR="005F1BF7" w:rsidRDefault="005F1BF7">
      <w:pPr>
        <w:ind w:left="850" w:hanging="850"/>
      </w:pPr>
      <w:r>
        <w:t>2.</w:t>
      </w:r>
      <w:r>
        <w:tab/>
        <w:t>There is no information that the listing rules require to be disclosed that has not already been disclosed, or is not contained in, or attached to, this form.</w:t>
      </w:r>
    </w:p>
    <w:p w14:paraId="77145B92" w14:textId="77777777" w:rsidR="005F1BF7" w:rsidRDefault="005F1BF7"/>
    <w:p w14:paraId="6309F542" w14:textId="77777777" w:rsidR="005F1BF7" w:rsidRDefault="005F1BF7"/>
    <w:p w14:paraId="1012E3AF" w14:textId="77777777" w:rsidR="005F1BF7" w:rsidRDefault="005F1BF7">
      <w:r>
        <w:t xml:space="preserve">Sign here: </w:t>
      </w:r>
      <w:r>
        <w:tab/>
        <w:t>............................................................</w:t>
      </w:r>
      <w:r>
        <w:tab/>
        <w:t>Date: .........................</w:t>
      </w:r>
    </w:p>
    <w:p w14:paraId="3FB569F8" w14:textId="77777777" w:rsidR="005F1BF7" w:rsidRDefault="005F1BF7">
      <w:pPr>
        <w:ind w:left="1440" w:firstLine="261"/>
      </w:pPr>
      <w:r>
        <w:t>(Director/Company secretary)</w:t>
      </w:r>
    </w:p>
    <w:p w14:paraId="2DAF2E2E" w14:textId="77777777" w:rsidR="005F1BF7" w:rsidRDefault="005F1BF7"/>
    <w:p w14:paraId="348B6172" w14:textId="77777777" w:rsidR="005F1BF7" w:rsidRDefault="005F1BF7"/>
    <w:p w14:paraId="622617DF" w14:textId="77777777" w:rsidR="005F1BF7" w:rsidRDefault="005F1BF7">
      <w:r>
        <w:t xml:space="preserve">Print name: </w:t>
      </w:r>
      <w:r>
        <w:tab/>
        <w:t>.........................................................</w:t>
      </w:r>
    </w:p>
    <w:p w14:paraId="6A6EAE76" w14:textId="77777777" w:rsidR="005F1BF7" w:rsidRDefault="005F1BF7">
      <w:pPr>
        <w:jc w:val="center"/>
        <w:rPr>
          <w:b/>
        </w:rPr>
      </w:pPr>
    </w:p>
    <w:p w14:paraId="3327C6A6" w14:textId="77777777" w:rsidR="005F1BF7" w:rsidRDefault="005F1BF7">
      <w:pPr>
        <w:jc w:val="center"/>
        <w:rPr>
          <w:b/>
        </w:rPr>
      </w:pPr>
      <w:r>
        <w:rPr>
          <w:b/>
        </w:rPr>
        <w:t>== == == == ==</w:t>
      </w:r>
    </w:p>
    <w:p w14:paraId="17FCA9B8" w14:textId="77777777" w:rsidR="005F1BF7" w:rsidRDefault="005F1BF7">
      <w:pPr>
        <w:jc w:val="center"/>
      </w:pPr>
    </w:p>
    <w:sectPr w:rsidR="005F1BF7">
      <w:headerReference w:type="even" r:id="rId6"/>
      <w:headerReference w:type="default" r:id="rId7"/>
      <w:footerReference w:type="even" r:id="rId8"/>
      <w:footerReference w:type="default" r:id="rId9"/>
      <w:pgSz w:w="11907" w:h="16834"/>
      <w:pgMar w:top="1440" w:right="1588" w:bottom="1440" w:left="1588" w:header="720" w:footer="720" w:gutter="567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B0FF" w14:textId="77777777" w:rsidR="005F1BF7" w:rsidRDefault="005F1BF7" w:rsidP="005F1BF7">
      <w:pPr>
        <w:pStyle w:val="Caption-BOX"/>
        <w:pPrChange w:id="2" w:author="campbell_c" w:date="2009-12-23T10:12:00Z">
          <w:pPr/>
        </w:pPrChange>
      </w:pPr>
      <w:r>
        <w:separator/>
      </w:r>
    </w:p>
  </w:endnote>
  <w:endnote w:type="continuationSeparator" w:id="0">
    <w:p w14:paraId="27EC6CD2" w14:textId="77777777" w:rsidR="005F1BF7" w:rsidRDefault="005F1BF7" w:rsidP="005F1BF7">
      <w:pPr>
        <w:pStyle w:val="Caption-BOX"/>
        <w:pPrChange w:id="3" w:author="campbell_c" w:date="2009-12-23T10:12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5310" w14:textId="77777777" w:rsidR="005F1BF7" w:rsidRDefault="005F1BF7">
    <w:pPr>
      <w:pStyle w:val="Footer"/>
      <w:rPr>
        <w:sz w:val="18"/>
      </w:rPr>
    </w:pPr>
  </w:p>
  <w:p w14:paraId="72EA4109" w14:textId="77777777" w:rsidR="005F1BF7" w:rsidRDefault="005F1BF7">
    <w:pPr>
      <w:pStyle w:val="Footer"/>
      <w:pBdr>
        <w:top w:val="single" w:sz="6" w:space="1" w:color="auto"/>
      </w:pBdr>
      <w:ind w:right="-61"/>
      <w:rPr>
        <w:sz w:val="18"/>
      </w:rPr>
    </w:pPr>
    <w:r>
      <w:rPr>
        <w:sz w:val="18"/>
      </w:rPr>
      <w:t>+ See chapter 19 for defined terms.</w:t>
    </w:r>
  </w:p>
  <w:p w14:paraId="1FCDE744" w14:textId="77777777" w:rsidR="005F1BF7" w:rsidRDefault="005F1BF7">
    <w:pPr>
      <w:pStyle w:val="Footer"/>
      <w:ind w:right="-1051"/>
      <w:rPr>
        <w:sz w:val="18"/>
      </w:rPr>
    </w:pPr>
  </w:p>
  <w:p w14:paraId="392DCBE2" w14:textId="77777777" w:rsidR="005F1BF7" w:rsidRPr="00BE216F" w:rsidRDefault="005F1BF7">
    <w:pPr>
      <w:pStyle w:val="Footer"/>
      <w:tabs>
        <w:tab w:val="clear" w:pos="4320"/>
        <w:tab w:val="clear" w:pos="8640"/>
        <w:tab w:val="right" w:pos="8222"/>
      </w:tabs>
      <w:ind w:right="18"/>
      <w:rPr>
        <w:sz w:val="18"/>
        <w:lang w:val="fr-FR"/>
      </w:rPr>
    </w:pPr>
    <w:r>
      <w:rPr>
        <w:sz w:val="18"/>
        <w:lang w:val="fr-FR"/>
      </w:rPr>
      <w:t xml:space="preserve">Appendix 3F Page </w:t>
    </w:r>
    <w:r>
      <w:rPr>
        <w:sz w:val="18"/>
        <w:lang w:val="fr-FR"/>
      </w:rPr>
      <w:fldChar w:fldCharType="begin"/>
    </w:r>
    <w:r>
      <w:rPr>
        <w:sz w:val="18"/>
        <w:lang w:val="fr-FR"/>
      </w:rPr>
      <w:instrText>PAGE</w:instrText>
    </w:r>
    <w:r>
      <w:rPr>
        <w:sz w:val="18"/>
        <w:lang w:val="fr-FR"/>
      </w:rPr>
      <w:fldChar w:fldCharType="separate"/>
    </w:r>
    <w:r w:rsidR="00BE216F">
      <w:rPr>
        <w:noProof/>
        <w:sz w:val="18"/>
        <w:lang w:val="fr-FR"/>
      </w:rPr>
      <w:t>2</w:t>
    </w:r>
    <w:r>
      <w:rPr>
        <w:sz w:val="18"/>
        <w:lang w:val="fr-FR"/>
      </w:rPr>
      <w:fldChar w:fldCharType="end"/>
    </w:r>
    <w:r>
      <w:rPr>
        <w:sz w:val="18"/>
        <w:lang w:val="fr-FR"/>
      </w:rPr>
      <w:tab/>
    </w:r>
    <w:r w:rsidR="00BE216F" w:rsidRPr="00BE216F">
      <w:rPr>
        <w:sz w:val="18"/>
        <w:lang w:val="fr-FR"/>
      </w:rPr>
      <w:t>11/01/2010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FACE" w14:textId="77777777" w:rsidR="005F1BF7" w:rsidRDefault="005F1BF7">
    <w:pPr>
      <w:pStyle w:val="Footer"/>
      <w:ind w:right="-61"/>
      <w:rPr>
        <w:sz w:val="18"/>
      </w:rPr>
    </w:pPr>
  </w:p>
  <w:p w14:paraId="17BA6E94" w14:textId="77777777" w:rsidR="005F1BF7" w:rsidRDefault="005F1BF7">
    <w:pPr>
      <w:pStyle w:val="Footer"/>
      <w:pBdr>
        <w:top w:val="single" w:sz="6" w:space="1" w:color="auto"/>
      </w:pBdr>
      <w:ind w:right="-61"/>
      <w:rPr>
        <w:sz w:val="18"/>
      </w:rPr>
    </w:pPr>
    <w:r>
      <w:rPr>
        <w:sz w:val="18"/>
      </w:rPr>
      <w:t>+ See chapter 19 for defined terms.</w:t>
    </w:r>
  </w:p>
  <w:p w14:paraId="6630F104" w14:textId="77777777" w:rsidR="005F1BF7" w:rsidRDefault="005F1BF7">
    <w:pPr>
      <w:pStyle w:val="Footer"/>
      <w:ind w:right="-1051"/>
      <w:rPr>
        <w:sz w:val="18"/>
      </w:rPr>
    </w:pPr>
  </w:p>
  <w:p w14:paraId="7E9B0AB4" w14:textId="77777777" w:rsidR="005F1BF7" w:rsidRDefault="00BE216F">
    <w:pPr>
      <w:pStyle w:val="Footer"/>
      <w:tabs>
        <w:tab w:val="clear" w:pos="4320"/>
        <w:tab w:val="clear" w:pos="8640"/>
        <w:tab w:val="right" w:pos="8222"/>
      </w:tabs>
      <w:ind w:right="-61"/>
      <w:rPr>
        <w:sz w:val="18"/>
        <w:lang w:val="fr-FR"/>
      </w:rPr>
    </w:pPr>
    <w:r w:rsidRPr="00BE216F">
      <w:rPr>
        <w:sz w:val="18"/>
        <w:lang w:val="fr-FR"/>
      </w:rPr>
      <w:t>11/01/2010</w:t>
    </w:r>
    <w:r w:rsidR="005F1BF7">
      <w:rPr>
        <w:sz w:val="18"/>
        <w:lang w:val="fr-FR"/>
      </w:rPr>
      <w:tab/>
      <w:t>Appendix 3</w:t>
    </w:r>
    <w:proofErr w:type="gramStart"/>
    <w:r w:rsidR="005F1BF7">
      <w:rPr>
        <w:sz w:val="18"/>
        <w:lang w:val="fr-FR"/>
      </w:rPr>
      <w:t>F  Page</w:t>
    </w:r>
    <w:proofErr w:type="gramEnd"/>
    <w:r w:rsidR="005F1BF7">
      <w:rPr>
        <w:sz w:val="18"/>
        <w:lang w:val="fr-FR"/>
      </w:rPr>
      <w:t xml:space="preserve"> </w:t>
    </w:r>
    <w:r w:rsidR="005F1BF7">
      <w:rPr>
        <w:sz w:val="18"/>
        <w:lang w:val="fr-FR"/>
      </w:rPr>
      <w:fldChar w:fldCharType="begin"/>
    </w:r>
    <w:r w:rsidR="005F1BF7">
      <w:rPr>
        <w:sz w:val="18"/>
        <w:lang w:val="fr-FR"/>
      </w:rPr>
      <w:instrText>PAGE</w:instrText>
    </w:r>
    <w:r w:rsidR="005F1BF7">
      <w:rPr>
        <w:sz w:val="18"/>
        <w:lang w:val="fr-FR"/>
      </w:rPr>
      <w:fldChar w:fldCharType="separate"/>
    </w:r>
    <w:r>
      <w:rPr>
        <w:noProof/>
        <w:sz w:val="18"/>
        <w:lang w:val="fr-FR"/>
      </w:rPr>
      <w:t>1</w:t>
    </w:r>
    <w:r w:rsidR="005F1BF7">
      <w:rPr>
        <w:sz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92A0" w14:textId="77777777" w:rsidR="005F1BF7" w:rsidRDefault="005F1BF7" w:rsidP="005F1BF7">
      <w:pPr>
        <w:pStyle w:val="Caption-BOX"/>
        <w:pPrChange w:id="0" w:author="campbell_c" w:date="2009-12-23T10:12:00Z">
          <w:pPr/>
        </w:pPrChange>
      </w:pPr>
      <w:r>
        <w:separator/>
      </w:r>
    </w:p>
  </w:footnote>
  <w:footnote w:type="continuationSeparator" w:id="0">
    <w:p w14:paraId="779222BA" w14:textId="77777777" w:rsidR="005F1BF7" w:rsidRDefault="005F1BF7" w:rsidP="005F1BF7">
      <w:pPr>
        <w:pStyle w:val="Caption-BOX"/>
        <w:pPrChange w:id="1" w:author="campbell_c" w:date="2009-12-23T10:12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4E2C" w14:textId="77777777" w:rsidR="005F1BF7" w:rsidRDefault="005F1BF7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left"/>
    </w:pPr>
    <w:r>
      <w:t>Appendix 3F</w:t>
    </w:r>
  </w:p>
  <w:p w14:paraId="6C34922C" w14:textId="77777777" w:rsidR="005F1BF7" w:rsidRDefault="005F1BF7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left"/>
    </w:pPr>
    <w:r>
      <w:t xml:space="preserve">Final </w:t>
    </w:r>
    <w:proofErr w:type="gramStart"/>
    <w:r>
      <w:t>share</w:t>
    </w:r>
    <w:proofErr w:type="gramEnd"/>
    <w:r>
      <w:t xml:space="preserve"> buy-back notice</w:t>
    </w:r>
  </w:p>
  <w:p w14:paraId="37D897ED" w14:textId="77777777" w:rsidR="005F1BF7" w:rsidRDefault="005F1BF7">
    <w:pPr>
      <w:pStyle w:val="Header"/>
      <w:pBdr>
        <w:bottom w:val="single" w:sz="12" w:space="1" w:color="auto"/>
      </w:pBdr>
      <w:tabs>
        <w:tab w:val="right" w:pos="7560"/>
      </w:tabs>
      <w:ind w:right="-61"/>
      <w:rPr>
        <w:sz w:val="12"/>
      </w:rPr>
    </w:pPr>
  </w:p>
  <w:p w14:paraId="0B4925E9" w14:textId="77777777" w:rsidR="005F1BF7" w:rsidRDefault="005F1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6116" w14:textId="77777777" w:rsidR="005F1BF7" w:rsidRDefault="005F1BF7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right"/>
    </w:pPr>
    <w:r>
      <w:t>Appendix 3F</w:t>
    </w:r>
  </w:p>
  <w:p w14:paraId="2B2F44C9" w14:textId="77777777" w:rsidR="005F1BF7" w:rsidRDefault="005F1BF7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right"/>
    </w:pPr>
    <w:r>
      <w:t xml:space="preserve">Final </w:t>
    </w:r>
    <w:proofErr w:type="gramStart"/>
    <w:r>
      <w:t>share</w:t>
    </w:r>
    <w:proofErr w:type="gramEnd"/>
    <w:r>
      <w:t xml:space="preserve"> buy-back notice</w:t>
    </w:r>
  </w:p>
  <w:p w14:paraId="4F6EAAEA" w14:textId="77777777" w:rsidR="005F1BF7" w:rsidRDefault="005F1BF7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505"/>
      </w:tabs>
      <w:ind w:right="-61"/>
      <w:rPr>
        <w:sz w:val="12"/>
      </w:rPr>
    </w:pPr>
  </w:p>
  <w:p w14:paraId="639F9FF5" w14:textId="77777777" w:rsidR="005F1BF7" w:rsidRDefault="005F1B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ED"/>
    <w:rsid w:val="005F1BF7"/>
    <w:rsid w:val="00AA1C41"/>
    <w:rsid w:val="00BB6EED"/>
    <w:rsid w:val="00B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79131D"/>
  <w15:chartTrackingRefBased/>
  <w15:docId w15:val="{0B7B6F10-DE66-49D6-9483-0EDF682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ClassGarmnd BT" w:hAnsi="ClassGarmnd BT"/>
      <w:sz w:val="22"/>
      <w:lang w:val="en-GB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Zurich Cn BT" w:hAnsi="Zurich Cn BT"/>
      <w:b/>
      <w:sz w:val="48"/>
    </w:rPr>
  </w:style>
  <w:style w:type="paragraph" w:styleId="Heading2">
    <w:name w:val="heading 2"/>
    <w:basedOn w:val="Normal"/>
    <w:next w:val="Normal"/>
    <w:qFormat/>
    <w:pPr>
      <w:ind w:left="0" w:firstLine="0"/>
      <w:outlineLvl w:val="1"/>
    </w:pPr>
    <w:rPr>
      <w:rFonts w:ascii="Zurich Cn BT" w:hAnsi="Zurich Cn BT"/>
      <w:b/>
      <w:sz w:val="32"/>
    </w:rPr>
  </w:style>
  <w:style w:type="paragraph" w:styleId="Heading3">
    <w:name w:val="heading 3"/>
    <w:aliases w:val="d"/>
    <w:basedOn w:val="Normal"/>
    <w:next w:val="Normal"/>
    <w:qFormat/>
    <w:pPr>
      <w:ind w:left="0" w:firstLine="0"/>
      <w:outlineLvl w:val="2"/>
    </w:pPr>
    <w:rPr>
      <w:b/>
      <w:sz w:val="26"/>
    </w:rPr>
  </w:style>
  <w:style w:type="paragraph" w:styleId="Heading4">
    <w:name w:val="heading 4"/>
    <w:aliases w:val="sd"/>
    <w:basedOn w:val="Normal"/>
    <w:next w:val="Normal"/>
    <w:qFormat/>
    <w:pPr>
      <w:ind w:left="0" w:firstLine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rFonts w:ascii="Times" w:hAnsi="Times"/>
      <w:b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  <w:rPr>
      <w:b/>
    </w:rPr>
  </w:style>
  <w:style w:type="paragraph" w:customStyle="1" w:styleId="historytext">
    <w:name w:val="historytext"/>
    <w:basedOn w:val="Normal"/>
    <w:next w:val="Normal"/>
    <w:pPr>
      <w:spacing w:before="120"/>
    </w:pPr>
    <w:rPr>
      <w:sz w:val="14"/>
    </w:rPr>
  </w:style>
  <w:style w:type="paragraph" w:customStyle="1" w:styleId="Caption-BOX">
    <w:name w:val="Caption-BOX"/>
    <w:pPr>
      <w:widowControl w:val="0"/>
      <w:overflowPunct w:val="0"/>
      <w:autoSpaceDE w:val="0"/>
      <w:autoSpaceDN w:val="0"/>
      <w:adjustRightInd w:val="0"/>
      <w:spacing w:after="40"/>
      <w:textAlignment w:val="baseline"/>
    </w:pPr>
    <w:rPr>
      <w:rFonts w:ascii="ClassGarmnd BT" w:hAnsi="ClassGarmnd BT"/>
      <w:color w:val="000000"/>
      <w:sz w:val="18"/>
    </w:rPr>
  </w:style>
  <w:style w:type="paragraph" w:customStyle="1" w:styleId="Heading19">
    <w:name w:val="Heading 19"/>
    <w:basedOn w:val="Normal"/>
    <w:pPr>
      <w:ind w:left="0" w:firstLine="0"/>
    </w:pPr>
    <w:rPr>
      <w:i/>
      <w:sz w:val="18"/>
      <w:lang w:val="en-AU"/>
    </w:rPr>
  </w:style>
  <w:style w:type="paragraph" w:customStyle="1" w:styleId="boxstyle">
    <w:name w:val="boxstyle"/>
    <w:basedOn w:val="Normal"/>
    <w:pPr>
      <w:ind w:left="0" w:firstLine="0"/>
    </w:pPr>
    <w:rPr>
      <w:color w:val="000000"/>
      <w:sz w:val="20"/>
      <w:lang w:val="en-AU"/>
    </w:rPr>
  </w:style>
  <w:style w:type="paragraph" w:customStyle="1" w:styleId="Heading17">
    <w:name w:val="Heading 17"/>
    <w:basedOn w:val="Normal"/>
    <w:pPr>
      <w:ind w:left="709" w:hanging="709"/>
    </w:pPr>
    <w:rPr>
      <w:i/>
      <w:lang w:val="en-AU"/>
    </w:rPr>
  </w:style>
  <w:style w:type="paragraph" w:customStyle="1" w:styleId="Heading18">
    <w:name w:val="Heading 18"/>
    <w:basedOn w:val="Normal"/>
    <w:rPr>
      <w:b/>
      <w:sz w:val="26"/>
      <w:lang w:val="en-AU"/>
    </w:rPr>
  </w:style>
  <w:style w:type="paragraph" w:customStyle="1" w:styleId="Heading12">
    <w:name w:val="Heading 12"/>
    <w:basedOn w:val="Normal"/>
    <w:pPr>
      <w:jc w:val="left"/>
    </w:pPr>
    <w:rPr>
      <w:sz w:val="20"/>
      <w:lang w:val="en-AU"/>
    </w:rPr>
  </w:style>
  <w:style w:type="paragraph" w:customStyle="1" w:styleId="definitions">
    <w:name w:val="definitions"/>
    <w:basedOn w:val="Normal"/>
    <w:next w:val="Normal"/>
    <w:rPr>
      <w:rFonts w:ascii="Helvetica" w:hAnsi="Helvetica"/>
      <w:lang w:val="en-AU"/>
    </w:rPr>
  </w:style>
  <w:style w:type="paragraph" w:customStyle="1" w:styleId="deleted">
    <w:name w:val="deleted"/>
    <w:basedOn w:val="boxstyle"/>
    <w:pPr>
      <w:spacing w:before="40"/>
    </w:pPr>
    <w:rPr>
      <w:color w:val="auto"/>
      <w:sz w:val="14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customStyle="1" w:styleId="superscript">
    <w:name w:val="superscript"/>
    <w:basedOn w:val="DefaultParagraphFont"/>
    <w:rPr>
      <w:rFonts w:ascii="Century Schoolbook" w:hAnsi="Century Schoolbook"/>
      <w:position w:val="6"/>
      <w:sz w:val="14"/>
    </w:rPr>
  </w:style>
  <w:style w:type="paragraph" w:customStyle="1" w:styleId="tick">
    <w:name w:val="tick"/>
    <w:basedOn w:val="boxstyle"/>
    <w:rPr>
      <w:rFonts w:ascii="Wingdings" w:hAnsi="Wingdings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NEW ISSUE ANNOUNCEMENTS</vt:lpstr>
      </vt:variant>
      <vt:variant>
        <vt:i4>0</vt:i4>
      </vt:variant>
    </vt:vector>
  </HeadingPairs>
  <TitlesOfParts>
    <vt:vector size="1" baseType="lpstr">
      <vt:lpstr>NEW ISSUE ANNOUNCEMENTS</vt:lpstr>
    </vt:vector>
  </TitlesOfParts>
  <Company>ASX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ISSUE ANNOUNCEMENTS</dc:title>
  <dc:subject/>
  <dc:creator>ASX</dc:creator>
  <cp:keywords/>
  <dc:description/>
  <cp:lastModifiedBy>Corey Lian</cp:lastModifiedBy>
  <cp:revision>2</cp:revision>
  <cp:lastPrinted>1999-05-25T00:19:00Z</cp:lastPrinted>
  <dcterms:created xsi:type="dcterms:W3CDTF">2025-09-19T03:10:00Z</dcterms:created>
  <dcterms:modified xsi:type="dcterms:W3CDTF">2025-09-19T03:10:00Z</dcterms:modified>
</cp:coreProperties>
</file>