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E2EC0" w14:textId="7A7CE0F7" w:rsidR="004B6C11" w:rsidRPr="00600CAC" w:rsidRDefault="00BF230A" w:rsidP="001314D6">
      <w:pPr>
        <w:pStyle w:val="TopHeading"/>
        <w:spacing w:before="120" w:after="240"/>
      </w:pPr>
      <w:r w:rsidRPr="00600CAC">
        <w:t xml:space="preserve">Appendix </w:t>
      </w:r>
      <w:r w:rsidR="001310DB" w:rsidRPr="00600CAC">
        <w:t>3H</w:t>
      </w:r>
    </w:p>
    <w:p w14:paraId="38A446C1" w14:textId="14A15416" w:rsidR="004B6C11" w:rsidRPr="00600CAC" w:rsidRDefault="001310DB" w:rsidP="001314D6">
      <w:pPr>
        <w:pStyle w:val="TopHeading"/>
        <w:spacing w:before="0" w:after="240"/>
      </w:pPr>
      <w:r w:rsidRPr="00600CAC">
        <w:t xml:space="preserve">Notification of </w:t>
      </w:r>
      <w:r w:rsidR="002B3142" w:rsidRPr="00600CAC">
        <w:t>cessation of</w:t>
      </w:r>
      <w:r w:rsidRPr="00600CAC">
        <w:t xml:space="preserve"> securities</w:t>
      </w:r>
    </w:p>
    <w:p w14:paraId="113B2D23" w14:textId="77777777" w:rsidR="00BF230A" w:rsidRPr="00600CAC" w:rsidRDefault="00D35EAD" w:rsidP="00261495">
      <w:pPr>
        <w:spacing w:before="0" w:after="0"/>
        <w:rPr>
          <w:i/>
        </w:rPr>
      </w:pPr>
      <w:r w:rsidRPr="00600CAC">
        <w:rPr>
          <w:i/>
        </w:rPr>
        <w:t>Information and documents given to ASX become ASX’s property and may be made public.</w:t>
      </w:r>
    </w:p>
    <w:p w14:paraId="263F5515" w14:textId="77777777" w:rsidR="00B517A7" w:rsidRPr="00600CAC" w:rsidRDefault="00B517A7" w:rsidP="00261495">
      <w:pPr>
        <w:tabs>
          <w:tab w:val="clear" w:pos="851"/>
          <w:tab w:val="left" w:pos="0"/>
        </w:tabs>
        <w:spacing w:before="0" w:after="0"/>
        <w:rPr>
          <w:szCs w:val="20"/>
        </w:rPr>
      </w:pPr>
      <w:r w:rsidRPr="00600CAC">
        <w:rPr>
          <w:szCs w:val="20"/>
        </w:rPr>
        <w:t>*</w:t>
      </w:r>
      <w:r w:rsidRPr="00600CAC">
        <w:rPr>
          <w:i/>
          <w:szCs w:val="20"/>
        </w:rPr>
        <w:t>Denotes minimum information required for first lodgement of this form.</w:t>
      </w:r>
    </w:p>
    <w:p w14:paraId="66AFD766" w14:textId="77777777" w:rsidR="00BF230A" w:rsidRPr="00600CAC" w:rsidRDefault="00B517A7" w:rsidP="0050175E">
      <w:pPr>
        <w:pStyle w:val="Heading1"/>
      </w:pPr>
      <w:r w:rsidRPr="00600CAC">
        <w:t>Part 1 – Entity and announcement details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3969"/>
      </w:tblGrid>
      <w:tr w:rsidR="002B0295" w:rsidRPr="00600CAC" w14:paraId="22352404" w14:textId="77777777" w:rsidTr="00E073A2">
        <w:tc>
          <w:tcPr>
            <w:tcW w:w="1134" w:type="dxa"/>
            <w:hideMark/>
          </w:tcPr>
          <w:p w14:paraId="02E75CEB" w14:textId="77777777" w:rsidR="00B517A7" w:rsidRPr="00600CAC" w:rsidRDefault="003106F4" w:rsidP="003B3C21">
            <w:pPr>
              <w:pStyle w:val="Boxtext"/>
              <w:tabs>
                <w:tab w:val="clear" w:pos="851"/>
              </w:tabs>
              <w:rPr>
                <w:rFonts w:ascii="Arial" w:hAnsi="Arial" w:cs="Arial"/>
                <w:b/>
              </w:rPr>
            </w:pPr>
            <w:r w:rsidRPr="00600CAC">
              <w:rPr>
                <w:rFonts w:ascii="Arial" w:hAnsi="Arial" w:cs="Arial"/>
                <w:b/>
              </w:rPr>
              <w:t>Question no</w:t>
            </w:r>
          </w:p>
        </w:tc>
        <w:tc>
          <w:tcPr>
            <w:tcW w:w="3969" w:type="dxa"/>
            <w:hideMark/>
          </w:tcPr>
          <w:p w14:paraId="00E45654" w14:textId="77777777" w:rsidR="00B517A7" w:rsidRPr="00600CAC" w:rsidRDefault="00B517A7">
            <w:pPr>
              <w:pStyle w:val="Boxtext"/>
              <w:rPr>
                <w:rFonts w:ascii="Arial" w:hAnsi="Arial" w:cs="Arial"/>
                <w:b/>
              </w:rPr>
            </w:pPr>
            <w:r w:rsidRPr="00600CAC">
              <w:rPr>
                <w:rFonts w:ascii="Arial" w:hAnsi="Arial" w:cs="Arial"/>
                <w:b/>
              </w:rPr>
              <w:t>Question</w:t>
            </w:r>
          </w:p>
        </w:tc>
        <w:tc>
          <w:tcPr>
            <w:tcW w:w="3969" w:type="dxa"/>
            <w:hideMark/>
          </w:tcPr>
          <w:p w14:paraId="52D07569" w14:textId="77777777" w:rsidR="00B517A7" w:rsidRPr="00600CAC" w:rsidRDefault="00B517A7" w:rsidP="002B0295">
            <w:pPr>
              <w:pStyle w:val="Boxtext"/>
              <w:tabs>
                <w:tab w:val="clear" w:pos="851"/>
              </w:tabs>
              <w:rPr>
                <w:rFonts w:ascii="Arial" w:hAnsi="Arial" w:cs="Arial"/>
                <w:b/>
              </w:rPr>
            </w:pPr>
            <w:r w:rsidRPr="00600CAC">
              <w:rPr>
                <w:rFonts w:ascii="Arial" w:hAnsi="Arial" w:cs="Arial"/>
                <w:b/>
              </w:rPr>
              <w:t>Answer</w:t>
            </w:r>
          </w:p>
        </w:tc>
      </w:tr>
      <w:tr w:rsidR="002B0295" w:rsidRPr="00600CAC" w14:paraId="7A478200" w14:textId="77777777" w:rsidTr="00E073A2">
        <w:tc>
          <w:tcPr>
            <w:tcW w:w="1134" w:type="dxa"/>
            <w:hideMark/>
          </w:tcPr>
          <w:p w14:paraId="6BB3833E" w14:textId="77777777" w:rsidR="00B517A7" w:rsidRPr="00600CAC" w:rsidRDefault="00B517A7" w:rsidP="0050175E">
            <w:pPr>
              <w:pStyle w:val="Boxtext"/>
              <w:tabs>
                <w:tab w:val="clear" w:pos="851"/>
              </w:tabs>
              <w:rPr>
                <w:rFonts w:ascii="Arial" w:hAnsi="Arial" w:cs="Arial"/>
              </w:rPr>
            </w:pPr>
            <w:r w:rsidRPr="00600CAC">
              <w:rPr>
                <w:rFonts w:ascii="Arial" w:hAnsi="Arial" w:cs="Arial"/>
              </w:rPr>
              <w:t>1.1</w:t>
            </w:r>
          </w:p>
        </w:tc>
        <w:tc>
          <w:tcPr>
            <w:tcW w:w="3969" w:type="dxa"/>
            <w:hideMark/>
          </w:tcPr>
          <w:p w14:paraId="60BEE0E6" w14:textId="77777777" w:rsidR="00B517A7" w:rsidRPr="00600CAC" w:rsidRDefault="00B517A7" w:rsidP="0050175E">
            <w:pPr>
              <w:pStyle w:val="Boxtext"/>
              <w:rPr>
                <w:rFonts w:ascii="Arial" w:hAnsi="Arial" w:cs="Arial"/>
              </w:rPr>
            </w:pPr>
            <w:r w:rsidRPr="00600CAC">
              <w:rPr>
                <w:rFonts w:ascii="Arial" w:hAnsi="Arial" w:cs="Arial"/>
              </w:rPr>
              <w:t>*Name of entity</w:t>
            </w:r>
          </w:p>
          <w:p w14:paraId="15C6CFAB" w14:textId="77777777" w:rsidR="005C6309" w:rsidRPr="00600CAC" w:rsidRDefault="00D338A6" w:rsidP="0050175E">
            <w:pPr>
              <w:pStyle w:val="Boxtext"/>
              <w:rPr>
                <w:rFonts w:ascii="Arial" w:hAnsi="Arial" w:cs="Arial"/>
                <w:sz w:val="16"/>
                <w:szCs w:val="16"/>
              </w:rPr>
            </w:pPr>
            <w:r w:rsidRPr="00600CAC">
              <w:rPr>
                <w:rFonts w:ascii="Arial" w:hAnsi="Arial" w:cs="Arial"/>
                <w:sz w:val="16"/>
                <w:szCs w:val="16"/>
              </w:rPr>
              <w:t>We (the entity named above) provide the following information about our issued capital</w:t>
            </w:r>
            <w:r w:rsidR="00065FE8" w:rsidRPr="00600CAC">
              <w:rPr>
                <w:rFonts w:ascii="Arial" w:hAnsi="Arial" w:cs="Arial"/>
                <w:sz w:val="16"/>
                <w:szCs w:val="16"/>
              </w:rPr>
              <w:t>.</w:t>
            </w:r>
            <w:r w:rsidR="005C6309" w:rsidRPr="00600CAC">
              <w:rPr>
                <w:rStyle w:val="FootnoteReference"/>
                <w:rFonts w:ascii="Arial" w:hAnsi="Arial" w:cs="Arial"/>
                <w:sz w:val="16"/>
                <w:szCs w:val="16"/>
              </w:rPr>
              <w:footnoteReference w:id="2"/>
            </w:r>
          </w:p>
        </w:tc>
        <w:tc>
          <w:tcPr>
            <w:tcW w:w="3969" w:type="dxa"/>
          </w:tcPr>
          <w:p w14:paraId="07198D1F" w14:textId="77777777" w:rsidR="00B517A7" w:rsidRPr="00600CAC" w:rsidRDefault="00B517A7" w:rsidP="003B3C21">
            <w:pPr>
              <w:pStyle w:val="Boxtext"/>
              <w:rPr>
                <w:rFonts w:ascii="Arial" w:hAnsi="Arial" w:cs="Arial"/>
              </w:rPr>
            </w:pPr>
          </w:p>
        </w:tc>
      </w:tr>
      <w:tr w:rsidR="002B0295" w:rsidRPr="00600CAC" w14:paraId="4837CAA0" w14:textId="77777777" w:rsidTr="00E073A2">
        <w:tc>
          <w:tcPr>
            <w:tcW w:w="1134" w:type="dxa"/>
            <w:hideMark/>
          </w:tcPr>
          <w:p w14:paraId="24532C7E" w14:textId="77777777" w:rsidR="00B517A7" w:rsidRPr="00600CAC" w:rsidRDefault="00B517A7" w:rsidP="0050175E">
            <w:pPr>
              <w:pStyle w:val="Boxtext"/>
              <w:tabs>
                <w:tab w:val="clear" w:pos="851"/>
              </w:tabs>
              <w:rPr>
                <w:rFonts w:ascii="Arial" w:hAnsi="Arial" w:cs="Arial"/>
              </w:rPr>
            </w:pPr>
            <w:r w:rsidRPr="00600CAC">
              <w:rPr>
                <w:rFonts w:ascii="Arial" w:hAnsi="Arial" w:cs="Arial"/>
              </w:rPr>
              <w:t>1.2</w:t>
            </w:r>
          </w:p>
        </w:tc>
        <w:tc>
          <w:tcPr>
            <w:tcW w:w="3969" w:type="dxa"/>
            <w:hideMark/>
          </w:tcPr>
          <w:p w14:paraId="25DEA63B" w14:textId="77777777" w:rsidR="00B517A7" w:rsidRPr="00600CAC" w:rsidRDefault="00B517A7" w:rsidP="0050175E">
            <w:pPr>
              <w:pStyle w:val="Boxtext"/>
              <w:rPr>
                <w:rFonts w:ascii="Arial" w:hAnsi="Arial" w:cs="Arial"/>
              </w:rPr>
            </w:pPr>
            <w:r w:rsidRPr="00600CAC">
              <w:rPr>
                <w:rFonts w:ascii="Arial" w:hAnsi="Arial" w:cs="Arial"/>
              </w:rPr>
              <w:t>*Registration type and number</w:t>
            </w:r>
          </w:p>
          <w:p w14:paraId="699BF1B5" w14:textId="77777777" w:rsidR="00B517A7" w:rsidRPr="00600CAC" w:rsidRDefault="00065FE8" w:rsidP="0050175E">
            <w:pPr>
              <w:pStyle w:val="Boxtext"/>
              <w:rPr>
                <w:rFonts w:ascii="Arial" w:hAnsi="Arial" w:cs="Arial"/>
                <w:i/>
                <w:sz w:val="16"/>
                <w:szCs w:val="16"/>
              </w:rPr>
            </w:pPr>
            <w:r w:rsidRPr="00600CAC">
              <w:rPr>
                <w:rFonts w:ascii="Arial" w:hAnsi="Arial" w:cs="Arial"/>
                <w:i/>
                <w:sz w:val="16"/>
                <w:szCs w:val="16"/>
              </w:rPr>
              <w:t>Please supply your</w:t>
            </w:r>
            <w:r w:rsidR="00B517A7" w:rsidRPr="00600CAC">
              <w:rPr>
                <w:rFonts w:ascii="Arial" w:hAnsi="Arial" w:cs="Arial"/>
                <w:i/>
                <w:sz w:val="16"/>
                <w:szCs w:val="16"/>
              </w:rPr>
              <w:t xml:space="preserve"> ABN</w:t>
            </w:r>
            <w:r w:rsidRPr="00600CAC">
              <w:rPr>
                <w:rFonts w:ascii="Arial" w:hAnsi="Arial" w:cs="Arial"/>
                <w:i/>
                <w:sz w:val="16"/>
                <w:szCs w:val="16"/>
              </w:rPr>
              <w:t xml:space="preserve">, </w:t>
            </w:r>
            <w:r w:rsidR="00B517A7" w:rsidRPr="00600CAC">
              <w:rPr>
                <w:rFonts w:ascii="Arial" w:hAnsi="Arial" w:cs="Arial"/>
                <w:i/>
                <w:sz w:val="16"/>
                <w:szCs w:val="16"/>
              </w:rPr>
              <w:t>ARSN</w:t>
            </w:r>
            <w:r w:rsidRPr="00600CAC">
              <w:rPr>
                <w:rFonts w:ascii="Arial" w:hAnsi="Arial" w:cs="Arial"/>
                <w:i/>
                <w:sz w:val="16"/>
                <w:szCs w:val="16"/>
              </w:rPr>
              <w:t xml:space="preserve">, </w:t>
            </w:r>
            <w:r w:rsidR="00B517A7" w:rsidRPr="00600CAC">
              <w:rPr>
                <w:rFonts w:ascii="Arial" w:hAnsi="Arial" w:cs="Arial"/>
                <w:i/>
                <w:sz w:val="16"/>
                <w:szCs w:val="16"/>
              </w:rPr>
              <w:t>ARBN</w:t>
            </w:r>
            <w:r w:rsidRPr="00600CAC">
              <w:rPr>
                <w:rFonts w:ascii="Arial" w:hAnsi="Arial" w:cs="Arial"/>
                <w:i/>
                <w:sz w:val="16"/>
                <w:szCs w:val="16"/>
              </w:rPr>
              <w:t xml:space="preserve">, </w:t>
            </w:r>
            <w:r w:rsidR="00B517A7" w:rsidRPr="00600CAC">
              <w:rPr>
                <w:rFonts w:ascii="Arial" w:hAnsi="Arial" w:cs="Arial"/>
                <w:i/>
                <w:sz w:val="16"/>
                <w:szCs w:val="16"/>
              </w:rPr>
              <w:t xml:space="preserve">ACN or </w:t>
            </w:r>
            <w:r w:rsidRPr="00600CAC">
              <w:rPr>
                <w:rFonts w:ascii="Arial" w:hAnsi="Arial" w:cs="Arial"/>
                <w:i/>
                <w:sz w:val="16"/>
                <w:szCs w:val="16"/>
              </w:rPr>
              <w:t>an</w:t>
            </w:r>
            <w:r w:rsidR="00B517A7" w:rsidRPr="00600CAC">
              <w:rPr>
                <w:rFonts w:ascii="Arial" w:hAnsi="Arial" w:cs="Arial"/>
                <w:i/>
                <w:sz w:val="16"/>
                <w:szCs w:val="16"/>
              </w:rPr>
              <w:t xml:space="preserve">other registration type and number (if </w:t>
            </w:r>
            <w:r w:rsidRPr="00600CAC">
              <w:rPr>
                <w:rFonts w:ascii="Arial" w:hAnsi="Arial" w:cs="Arial"/>
                <w:i/>
                <w:sz w:val="16"/>
                <w:szCs w:val="16"/>
              </w:rPr>
              <w:t>you supply an</w:t>
            </w:r>
            <w:r w:rsidR="00B517A7" w:rsidRPr="00600CAC">
              <w:rPr>
                <w:rFonts w:ascii="Arial" w:hAnsi="Arial" w:cs="Arial"/>
                <w:i/>
                <w:sz w:val="16"/>
                <w:szCs w:val="16"/>
              </w:rPr>
              <w:t xml:space="preserve">other </w:t>
            </w:r>
            <w:r w:rsidRPr="00600CAC">
              <w:rPr>
                <w:rFonts w:ascii="Arial" w:hAnsi="Arial" w:cs="Arial"/>
                <w:i/>
                <w:sz w:val="16"/>
                <w:szCs w:val="16"/>
              </w:rPr>
              <w:t xml:space="preserve">registration type, </w:t>
            </w:r>
            <w:r w:rsidR="00B517A7" w:rsidRPr="00600CAC">
              <w:rPr>
                <w:rFonts w:ascii="Arial" w:hAnsi="Arial" w:cs="Arial"/>
                <w:i/>
                <w:sz w:val="16"/>
                <w:szCs w:val="16"/>
              </w:rPr>
              <w:t xml:space="preserve">please specify </w:t>
            </w:r>
            <w:r w:rsidRPr="00600CAC">
              <w:rPr>
                <w:rFonts w:ascii="Arial" w:hAnsi="Arial" w:cs="Arial"/>
                <w:i/>
                <w:sz w:val="16"/>
                <w:szCs w:val="16"/>
              </w:rPr>
              <w:t xml:space="preserve">both the </w:t>
            </w:r>
            <w:r w:rsidR="00B517A7" w:rsidRPr="00600CAC">
              <w:rPr>
                <w:rFonts w:ascii="Arial" w:hAnsi="Arial" w:cs="Arial"/>
                <w:i/>
                <w:sz w:val="16"/>
                <w:szCs w:val="16"/>
              </w:rPr>
              <w:t xml:space="preserve">type of registration </w:t>
            </w:r>
            <w:r w:rsidRPr="00600CAC">
              <w:rPr>
                <w:rFonts w:ascii="Arial" w:hAnsi="Arial" w:cs="Arial"/>
                <w:i/>
                <w:sz w:val="16"/>
                <w:szCs w:val="16"/>
              </w:rPr>
              <w:t xml:space="preserve">and the registration </w:t>
            </w:r>
            <w:r w:rsidR="00B517A7" w:rsidRPr="00600CAC">
              <w:rPr>
                <w:rFonts w:ascii="Arial" w:hAnsi="Arial" w:cs="Arial"/>
                <w:i/>
                <w:sz w:val="16"/>
                <w:szCs w:val="16"/>
              </w:rPr>
              <w:t>number).</w:t>
            </w:r>
          </w:p>
        </w:tc>
        <w:tc>
          <w:tcPr>
            <w:tcW w:w="3969" w:type="dxa"/>
          </w:tcPr>
          <w:p w14:paraId="1E94A983" w14:textId="77777777" w:rsidR="00B517A7" w:rsidRPr="00600CAC" w:rsidRDefault="00B517A7" w:rsidP="003B3C21">
            <w:pPr>
              <w:pStyle w:val="Boxtext"/>
              <w:rPr>
                <w:rFonts w:ascii="Arial" w:hAnsi="Arial" w:cs="Arial"/>
              </w:rPr>
            </w:pPr>
          </w:p>
        </w:tc>
      </w:tr>
      <w:tr w:rsidR="002B0295" w:rsidRPr="00600CAC" w14:paraId="1D29FA21" w14:textId="77777777" w:rsidTr="00E073A2">
        <w:tc>
          <w:tcPr>
            <w:tcW w:w="1134" w:type="dxa"/>
            <w:hideMark/>
          </w:tcPr>
          <w:p w14:paraId="1F653345" w14:textId="77777777" w:rsidR="00B517A7" w:rsidRPr="00600CAC" w:rsidRDefault="00B517A7" w:rsidP="0050175E">
            <w:pPr>
              <w:pStyle w:val="Boxtext"/>
              <w:tabs>
                <w:tab w:val="clear" w:pos="851"/>
              </w:tabs>
              <w:rPr>
                <w:rFonts w:ascii="Arial" w:hAnsi="Arial" w:cs="Arial"/>
              </w:rPr>
            </w:pPr>
            <w:r w:rsidRPr="00600CAC">
              <w:rPr>
                <w:rFonts w:ascii="Arial" w:hAnsi="Arial" w:cs="Arial"/>
              </w:rPr>
              <w:t>1.3</w:t>
            </w:r>
          </w:p>
        </w:tc>
        <w:tc>
          <w:tcPr>
            <w:tcW w:w="3969" w:type="dxa"/>
            <w:hideMark/>
          </w:tcPr>
          <w:p w14:paraId="086C9B10" w14:textId="77777777" w:rsidR="00B517A7" w:rsidRPr="00600CAC" w:rsidRDefault="00B517A7" w:rsidP="0050175E">
            <w:pPr>
              <w:pStyle w:val="Boxtext"/>
              <w:rPr>
                <w:rFonts w:ascii="Arial" w:hAnsi="Arial" w:cs="Arial"/>
              </w:rPr>
            </w:pPr>
            <w:r w:rsidRPr="00600CAC">
              <w:rPr>
                <w:rFonts w:ascii="Arial" w:hAnsi="Arial" w:cs="Arial"/>
              </w:rPr>
              <w:t>*ASX issuer code</w:t>
            </w:r>
          </w:p>
        </w:tc>
        <w:tc>
          <w:tcPr>
            <w:tcW w:w="3969" w:type="dxa"/>
          </w:tcPr>
          <w:p w14:paraId="498562BE" w14:textId="77777777" w:rsidR="00B517A7" w:rsidRPr="00600CAC" w:rsidRDefault="00B517A7" w:rsidP="0050175E">
            <w:pPr>
              <w:pStyle w:val="Boxtext"/>
              <w:rPr>
                <w:rFonts w:ascii="Arial" w:hAnsi="Arial" w:cs="Arial"/>
              </w:rPr>
            </w:pPr>
          </w:p>
        </w:tc>
      </w:tr>
      <w:tr w:rsidR="002B0295" w:rsidRPr="00600CAC" w14:paraId="785D5CDD" w14:textId="77777777" w:rsidTr="00DA2169">
        <w:tc>
          <w:tcPr>
            <w:tcW w:w="1134" w:type="dxa"/>
            <w:hideMark/>
          </w:tcPr>
          <w:p w14:paraId="6E6D7510" w14:textId="77777777" w:rsidR="00B517A7" w:rsidRPr="00600CAC" w:rsidRDefault="00B517A7" w:rsidP="0050175E">
            <w:pPr>
              <w:pStyle w:val="Boxtext"/>
              <w:tabs>
                <w:tab w:val="clear" w:pos="851"/>
              </w:tabs>
              <w:rPr>
                <w:rFonts w:ascii="Arial" w:hAnsi="Arial" w:cs="Arial"/>
              </w:rPr>
            </w:pPr>
            <w:r w:rsidRPr="00600CAC">
              <w:rPr>
                <w:rFonts w:ascii="Arial" w:hAnsi="Arial" w:cs="Arial"/>
              </w:rPr>
              <w:t>1.4</w:t>
            </w:r>
          </w:p>
        </w:tc>
        <w:tc>
          <w:tcPr>
            <w:tcW w:w="3969" w:type="dxa"/>
            <w:hideMark/>
          </w:tcPr>
          <w:p w14:paraId="7830E60A" w14:textId="77777777" w:rsidR="00B517A7" w:rsidRPr="00600CAC" w:rsidRDefault="00B517A7" w:rsidP="0050175E">
            <w:pPr>
              <w:pStyle w:val="Boxtext"/>
              <w:rPr>
                <w:rFonts w:ascii="Arial" w:hAnsi="Arial" w:cs="Arial"/>
              </w:rPr>
            </w:pPr>
            <w:r w:rsidRPr="00600CAC">
              <w:rPr>
                <w:rFonts w:ascii="Arial" w:hAnsi="Arial" w:cs="Arial"/>
              </w:rPr>
              <w:t>*The announcement is</w:t>
            </w:r>
          </w:p>
          <w:p w14:paraId="06F5F7F6" w14:textId="3FEC340A" w:rsidR="00B517A7" w:rsidRPr="00600CAC" w:rsidRDefault="008F4C82" w:rsidP="0050175E">
            <w:pPr>
              <w:pStyle w:val="Boxtext"/>
              <w:rPr>
                <w:rFonts w:ascii="Arial" w:hAnsi="Arial" w:cs="Arial"/>
                <w:i/>
                <w:sz w:val="16"/>
                <w:szCs w:val="16"/>
              </w:rPr>
            </w:pPr>
            <w:r w:rsidRPr="00600CAC">
              <w:rPr>
                <w:rFonts w:ascii="Arial" w:hAnsi="Arial" w:cs="Arial"/>
                <w:i/>
                <w:sz w:val="16"/>
                <w:szCs w:val="16"/>
              </w:rPr>
              <w:t xml:space="preserve">Select </w:t>
            </w:r>
            <w:r w:rsidR="00B517A7" w:rsidRPr="00600CAC">
              <w:rPr>
                <w:rFonts w:ascii="Arial" w:hAnsi="Arial" w:cs="Arial"/>
                <w:i/>
                <w:sz w:val="16"/>
                <w:szCs w:val="16"/>
              </w:rPr>
              <w:t>whichever is applicable.</w:t>
            </w:r>
          </w:p>
        </w:tc>
        <w:tc>
          <w:tcPr>
            <w:tcW w:w="3969" w:type="dxa"/>
            <w:hideMark/>
          </w:tcPr>
          <w:p w14:paraId="25364241" w14:textId="5CD2FEB5" w:rsidR="00B517A7" w:rsidRPr="00600CAC" w:rsidRDefault="009872B8" w:rsidP="00E073A2">
            <w:pPr>
              <w:pStyle w:val="Boxtext"/>
              <w:ind w:left="284" w:hanging="284"/>
              <w:rPr>
                <w:rFonts w:ascii="Arial" w:hAnsi="Arial" w:cs="Arial"/>
              </w:rPr>
            </w:pPr>
            <w:sdt>
              <w:sdtPr>
                <w:rPr>
                  <w:rFonts w:ascii="MS Gothic" w:eastAsia="MS Gothic" w:hAnsi="MS Gothic" w:cs="Arial"/>
                </w:rPr>
                <w:id w:val="170063867"/>
                <w14:checkbox>
                  <w14:checked w14:val="0"/>
                  <w14:checkedState w14:val="2612" w14:font="MS Gothic"/>
                  <w14:uncheckedState w14:val="2610" w14:font="MS Gothic"/>
                </w14:checkbox>
              </w:sdtPr>
              <w:sdtEndPr/>
              <w:sdtContent>
                <w:r w:rsidR="00DA2169" w:rsidRPr="00600CAC">
                  <w:rPr>
                    <w:rFonts w:ascii="MS Gothic" w:eastAsia="MS Gothic" w:hAnsi="MS Gothic" w:cs="Arial" w:hint="eastAsia"/>
                  </w:rPr>
                  <w:t>☐</w:t>
                </w:r>
              </w:sdtContent>
            </w:sdt>
            <w:r w:rsidR="00DA2169" w:rsidRPr="00600CAC">
              <w:rPr>
                <w:rFonts w:ascii="MS Gothic" w:eastAsia="MS Gothic" w:hAnsi="MS Gothic" w:cs="Arial"/>
                <w:i/>
                <w:iCs/>
              </w:rPr>
              <w:tab/>
            </w:r>
            <w:r w:rsidR="00B517A7" w:rsidRPr="00600CAC">
              <w:rPr>
                <w:rFonts w:ascii="Arial" w:hAnsi="Arial" w:cs="Arial"/>
              </w:rPr>
              <w:t>New announcement</w:t>
            </w:r>
          </w:p>
          <w:p w14:paraId="2D987FB2" w14:textId="6D690E26" w:rsidR="00B517A7" w:rsidRPr="00600CAC" w:rsidRDefault="009872B8" w:rsidP="00E073A2">
            <w:pPr>
              <w:pStyle w:val="Boxtext"/>
              <w:ind w:left="284" w:hanging="284"/>
              <w:rPr>
                <w:rFonts w:ascii="Arial" w:hAnsi="Arial" w:cs="Arial"/>
              </w:rPr>
            </w:pPr>
            <w:sdt>
              <w:sdtPr>
                <w:rPr>
                  <w:rFonts w:ascii="MS Gothic" w:eastAsia="MS Gothic" w:hAnsi="MS Gothic" w:cs="Arial"/>
                </w:rPr>
                <w:id w:val="-1370297634"/>
                <w14:checkbox>
                  <w14:checked w14:val="0"/>
                  <w14:checkedState w14:val="2612" w14:font="MS Gothic"/>
                  <w14:uncheckedState w14:val="2610" w14:font="MS Gothic"/>
                </w14:checkbox>
              </w:sdtPr>
              <w:sdtEndPr/>
              <w:sdtContent>
                <w:r w:rsidR="00DA2169" w:rsidRPr="00600CAC">
                  <w:rPr>
                    <w:rFonts w:ascii="MS Gothic" w:eastAsia="MS Gothic" w:hAnsi="MS Gothic" w:cs="Arial" w:hint="eastAsia"/>
                  </w:rPr>
                  <w:t>☐</w:t>
                </w:r>
              </w:sdtContent>
            </w:sdt>
            <w:r w:rsidR="00DA2169" w:rsidRPr="00600CAC">
              <w:rPr>
                <w:rFonts w:ascii="MS Gothic" w:eastAsia="MS Gothic" w:hAnsi="MS Gothic" w:cs="Arial"/>
                <w:i/>
                <w:iCs/>
              </w:rPr>
              <w:tab/>
            </w:r>
            <w:r w:rsidR="00B517A7" w:rsidRPr="00600CAC">
              <w:rPr>
                <w:rFonts w:ascii="Arial" w:hAnsi="Arial" w:cs="Arial"/>
              </w:rPr>
              <w:t>Update/amendment to previous announcement</w:t>
            </w:r>
          </w:p>
          <w:p w14:paraId="4E679F76" w14:textId="5167099C" w:rsidR="00B517A7" w:rsidRPr="00600CAC" w:rsidRDefault="009872B8" w:rsidP="00E073A2">
            <w:pPr>
              <w:pStyle w:val="Boxtext"/>
              <w:ind w:left="284" w:hanging="284"/>
              <w:rPr>
                <w:rFonts w:ascii="Arial" w:hAnsi="Arial" w:cs="Arial"/>
              </w:rPr>
            </w:pPr>
            <w:sdt>
              <w:sdtPr>
                <w:rPr>
                  <w:rFonts w:ascii="MS Gothic" w:eastAsia="MS Gothic" w:hAnsi="MS Gothic" w:cs="Arial"/>
                </w:rPr>
                <w:id w:val="-1553928543"/>
                <w14:checkbox>
                  <w14:checked w14:val="0"/>
                  <w14:checkedState w14:val="2612" w14:font="MS Gothic"/>
                  <w14:uncheckedState w14:val="2610" w14:font="MS Gothic"/>
                </w14:checkbox>
              </w:sdtPr>
              <w:sdtEndPr/>
              <w:sdtContent>
                <w:r w:rsidR="00DA2169" w:rsidRPr="00600CAC">
                  <w:rPr>
                    <w:rFonts w:ascii="MS Gothic" w:eastAsia="MS Gothic" w:hAnsi="MS Gothic" w:cs="Arial" w:hint="eastAsia"/>
                  </w:rPr>
                  <w:t>☐</w:t>
                </w:r>
              </w:sdtContent>
            </w:sdt>
            <w:r w:rsidR="00DA2169" w:rsidRPr="00600CAC">
              <w:rPr>
                <w:rFonts w:ascii="MS Gothic" w:eastAsia="MS Gothic" w:hAnsi="MS Gothic" w:cs="Arial"/>
                <w:i/>
                <w:iCs/>
              </w:rPr>
              <w:tab/>
            </w:r>
            <w:r w:rsidR="00B517A7" w:rsidRPr="00600CAC">
              <w:rPr>
                <w:rFonts w:ascii="Arial" w:hAnsi="Arial" w:cs="Arial"/>
              </w:rPr>
              <w:t>Cancellation of previous announcement</w:t>
            </w:r>
          </w:p>
        </w:tc>
      </w:tr>
      <w:tr w:rsidR="002B0295" w:rsidRPr="00600CAC" w14:paraId="0020215A" w14:textId="77777777" w:rsidTr="00E073A2">
        <w:tc>
          <w:tcPr>
            <w:tcW w:w="1134" w:type="dxa"/>
            <w:hideMark/>
          </w:tcPr>
          <w:p w14:paraId="30C072D0" w14:textId="77777777" w:rsidR="00B517A7" w:rsidRPr="00600CAC" w:rsidRDefault="00B517A7" w:rsidP="0050175E">
            <w:pPr>
              <w:pStyle w:val="Boxtext"/>
              <w:tabs>
                <w:tab w:val="clear" w:pos="851"/>
              </w:tabs>
              <w:rPr>
                <w:rFonts w:ascii="Arial" w:hAnsi="Arial" w:cs="Arial"/>
              </w:rPr>
            </w:pPr>
            <w:r w:rsidRPr="00600CAC">
              <w:rPr>
                <w:rFonts w:ascii="Arial" w:hAnsi="Arial" w:cs="Arial"/>
              </w:rPr>
              <w:t>1.4a</w:t>
            </w:r>
          </w:p>
        </w:tc>
        <w:tc>
          <w:tcPr>
            <w:tcW w:w="3969" w:type="dxa"/>
            <w:hideMark/>
          </w:tcPr>
          <w:p w14:paraId="62015806" w14:textId="77777777" w:rsidR="00B517A7" w:rsidRPr="00600CAC" w:rsidRDefault="00B517A7" w:rsidP="0050175E">
            <w:pPr>
              <w:pStyle w:val="Boxtext"/>
              <w:spacing w:after="0"/>
              <w:rPr>
                <w:rFonts w:ascii="Arial" w:hAnsi="Arial" w:cs="Arial"/>
              </w:rPr>
            </w:pPr>
            <w:r w:rsidRPr="00600CAC">
              <w:rPr>
                <w:rFonts w:ascii="Arial" w:hAnsi="Arial" w:cs="Arial"/>
              </w:rPr>
              <w:t>*Reason for update</w:t>
            </w:r>
          </w:p>
          <w:p w14:paraId="689ABC70" w14:textId="70E846A6" w:rsidR="00B517A7" w:rsidRPr="00600CAC" w:rsidRDefault="00C6531B" w:rsidP="00CB3B58">
            <w:pPr>
              <w:pStyle w:val="Boxtext"/>
              <w:rPr>
                <w:rFonts w:ascii="Arial" w:hAnsi="Arial" w:cs="Arial"/>
                <w:i/>
                <w:sz w:val="16"/>
                <w:szCs w:val="16"/>
              </w:rPr>
            </w:pPr>
            <w:r w:rsidRPr="00600CAC">
              <w:rPr>
                <w:rFonts w:ascii="Arial" w:hAnsi="Arial" w:cs="Arial"/>
                <w:i/>
                <w:sz w:val="16"/>
                <w:szCs w:val="16"/>
              </w:rPr>
              <w:t>A</w:t>
            </w:r>
            <w:r w:rsidR="008F4C82" w:rsidRPr="00600CAC">
              <w:rPr>
                <w:rFonts w:ascii="Arial" w:hAnsi="Arial" w:cs="Arial"/>
                <w:i/>
                <w:sz w:val="16"/>
                <w:szCs w:val="16"/>
              </w:rPr>
              <w:t xml:space="preserve">nswer this question if your response to </w:t>
            </w:r>
            <w:r w:rsidR="00D40FF8" w:rsidRPr="00600CAC">
              <w:rPr>
                <w:rFonts w:ascii="Arial" w:hAnsi="Arial" w:cs="Arial"/>
                <w:i/>
                <w:sz w:val="16"/>
                <w:szCs w:val="16"/>
              </w:rPr>
              <w:t>Q </w:t>
            </w:r>
            <w:r w:rsidR="008F4C82" w:rsidRPr="00600CAC">
              <w:rPr>
                <w:rFonts w:ascii="Arial" w:hAnsi="Arial" w:cs="Arial"/>
                <w:i/>
                <w:sz w:val="16"/>
                <w:szCs w:val="16"/>
              </w:rPr>
              <w:t xml:space="preserve">1.4 is </w:t>
            </w:r>
            <w:r w:rsidR="00B517A7" w:rsidRPr="00600CAC">
              <w:rPr>
                <w:rFonts w:ascii="Arial" w:hAnsi="Arial" w:cs="Arial"/>
                <w:i/>
                <w:sz w:val="16"/>
                <w:szCs w:val="16"/>
              </w:rPr>
              <w:t>“Update</w:t>
            </w:r>
            <w:r w:rsidR="008F4C82" w:rsidRPr="00600CAC">
              <w:rPr>
                <w:rFonts w:ascii="Arial" w:hAnsi="Arial" w:cs="Arial"/>
                <w:i/>
                <w:sz w:val="16"/>
                <w:szCs w:val="16"/>
              </w:rPr>
              <w:t>/amendment to previous announcement</w:t>
            </w:r>
            <w:r w:rsidR="00B517A7" w:rsidRPr="00600CAC">
              <w:rPr>
                <w:rFonts w:ascii="Arial" w:hAnsi="Arial" w:cs="Arial"/>
                <w:i/>
                <w:sz w:val="16"/>
                <w:szCs w:val="16"/>
              </w:rPr>
              <w:t>”.</w:t>
            </w:r>
          </w:p>
        </w:tc>
        <w:tc>
          <w:tcPr>
            <w:tcW w:w="3969" w:type="dxa"/>
          </w:tcPr>
          <w:p w14:paraId="133C01DC" w14:textId="77777777" w:rsidR="00B517A7" w:rsidRPr="00600CAC" w:rsidRDefault="00B517A7" w:rsidP="003B3C21">
            <w:pPr>
              <w:pStyle w:val="Boxtext"/>
              <w:rPr>
                <w:rFonts w:ascii="Arial" w:hAnsi="Arial" w:cs="Arial"/>
              </w:rPr>
            </w:pPr>
          </w:p>
        </w:tc>
      </w:tr>
      <w:tr w:rsidR="002B0295" w:rsidRPr="00600CAC" w14:paraId="7E571648" w14:textId="77777777" w:rsidTr="00E073A2">
        <w:tc>
          <w:tcPr>
            <w:tcW w:w="1134" w:type="dxa"/>
            <w:hideMark/>
          </w:tcPr>
          <w:p w14:paraId="6BAC37A9" w14:textId="77777777" w:rsidR="00B517A7" w:rsidRPr="00600CAC" w:rsidRDefault="00B517A7" w:rsidP="0050175E">
            <w:pPr>
              <w:pStyle w:val="Boxtext"/>
              <w:tabs>
                <w:tab w:val="clear" w:pos="851"/>
              </w:tabs>
              <w:rPr>
                <w:rFonts w:ascii="Arial" w:hAnsi="Arial" w:cs="Arial"/>
              </w:rPr>
            </w:pPr>
            <w:r w:rsidRPr="00600CAC">
              <w:rPr>
                <w:rFonts w:ascii="Arial" w:hAnsi="Arial" w:cs="Arial"/>
              </w:rPr>
              <w:t>1.4b</w:t>
            </w:r>
          </w:p>
        </w:tc>
        <w:tc>
          <w:tcPr>
            <w:tcW w:w="3969" w:type="dxa"/>
            <w:hideMark/>
          </w:tcPr>
          <w:p w14:paraId="48E0308D" w14:textId="77777777" w:rsidR="00B517A7" w:rsidRPr="00600CAC" w:rsidRDefault="00B517A7" w:rsidP="0050175E">
            <w:pPr>
              <w:pStyle w:val="Boxtext"/>
              <w:rPr>
                <w:rFonts w:ascii="Arial" w:hAnsi="Arial" w:cs="Arial"/>
              </w:rPr>
            </w:pPr>
            <w:r w:rsidRPr="00600CAC">
              <w:rPr>
                <w:rFonts w:ascii="Arial" w:hAnsi="Arial" w:cs="Arial"/>
              </w:rPr>
              <w:t>*Date of previous announcement to this update</w:t>
            </w:r>
          </w:p>
          <w:p w14:paraId="5BB37780" w14:textId="729FE970" w:rsidR="00B517A7" w:rsidRPr="00600CAC" w:rsidRDefault="00C6531B" w:rsidP="00CB3B58">
            <w:pPr>
              <w:pStyle w:val="Boxtext"/>
              <w:rPr>
                <w:rFonts w:ascii="Arial" w:hAnsi="Arial" w:cs="Arial"/>
                <w:i/>
              </w:rPr>
            </w:pPr>
            <w:r w:rsidRPr="00600CAC">
              <w:rPr>
                <w:rFonts w:ascii="Arial" w:hAnsi="Arial" w:cs="Arial"/>
                <w:i/>
                <w:sz w:val="16"/>
                <w:szCs w:val="16"/>
              </w:rPr>
              <w:t>A</w:t>
            </w:r>
            <w:r w:rsidR="008F4C82" w:rsidRPr="00600CAC">
              <w:rPr>
                <w:rFonts w:ascii="Arial" w:hAnsi="Arial" w:cs="Arial"/>
                <w:i/>
                <w:sz w:val="16"/>
                <w:szCs w:val="16"/>
              </w:rPr>
              <w:t xml:space="preserve">nswer this question if your response to </w:t>
            </w:r>
            <w:r w:rsidR="00D40FF8" w:rsidRPr="00600CAC">
              <w:rPr>
                <w:rFonts w:ascii="Arial" w:hAnsi="Arial" w:cs="Arial"/>
                <w:i/>
                <w:sz w:val="16"/>
                <w:szCs w:val="16"/>
              </w:rPr>
              <w:t>Q </w:t>
            </w:r>
            <w:r w:rsidR="008F4C82" w:rsidRPr="00600CAC">
              <w:rPr>
                <w:rFonts w:ascii="Arial" w:hAnsi="Arial" w:cs="Arial"/>
                <w:i/>
                <w:sz w:val="16"/>
                <w:szCs w:val="16"/>
              </w:rPr>
              <w:t xml:space="preserve">1.4 is </w:t>
            </w:r>
            <w:r w:rsidR="00B517A7" w:rsidRPr="00600CAC">
              <w:rPr>
                <w:rFonts w:ascii="Arial" w:hAnsi="Arial" w:cs="Arial"/>
                <w:i/>
                <w:sz w:val="16"/>
                <w:szCs w:val="16"/>
              </w:rPr>
              <w:t>“Update</w:t>
            </w:r>
            <w:r w:rsidR="008F4C82" w:rsidRPr="00600CAC">
              <w:rPr>
                <w:rFonts w:ascii="Arial" w:hAnsi="Arial" w:cs="Arial"/>
                <w:i/>
                <w:sz w:val="16"/>
                <w:szCs w:val="16"/>
              </w:rPr>
              <w:t>/amendment to previous announcement</w:t>
            </w:r>
            <w:r w:rsidR="00B517A7" w:rsidRPr="00600CAC">
              <w:rPr>
                <w:rFonts w:ascii="Arial" w:hAnsi="Arial" w:cs="Arial"/>
                <w:i/>
                <w:sz w:val="16"/>
                <w:szCs w:val="16"/>
              </w:rPr>
              <w:t>”.</w:t>
            </w:r>
          </w:p>
        </w:tc>
        <w:tc>
          <w:tcPr>
            <w:tcW w:w="3969" w:type="dxa"/>
          </w:tcPr>
          <w:p w14:paraId="0EFC4105" w14:textId="77777777" w:rsidR="00B517A7" w:rsidRPr="00600CAC" w:rsidRDefault="00B517A7" w:rsidP="003B3C21">
            <w:pPr>
              <w:pStyle w:val="Boxtext"/>
              <w:rPr>
                <w:rFonts w:ascii="Arial" w:hAnsi="Arial" w:cs="Arial"/>
              </w:rPr>
            </w:pPr>
          </w:p>
        </w:tc>
      </w:tr>
      <w:tr w:rsidR="002B0295" w:rsidRPr="00600CAC" w14:paraId="76BB113F" w14:textId="77777777" w:rsidTr="00E073A2">
        <w:tc>
          <w:tcPr>
            <w:tcW w:w="1134" w:type="dxa"/>
          </w:tcPr>
          <w:p w14:paraId="6DFED492" w14:textId="77777777" w:rsidR="0050175E" w:rsidRPr="00600CAC" w:rsidRDefault="0050175E" w:rsidP="0050175E">
            <w:pPr>
              <w:pStyle w:val="Boxtext"/>
              <w:tabs>
                <w:tab w:val="clear" w:pos="851"/>
              </w:tabs>
              <w:rPr>
                <w:rFonts w:ascii="Arial" w:hAnsi="Arial" w:cs="Arial"/>
              </w:rPr>
            </w:pPr>
            <w:r w:rsidRPr="00600CAC">
              <w:rPr>
                <w:rFonts w:ascii="Arial" w:hAnsi="Arial" w:cs="Arial"/>
              </w:rPr>
              <w:t>1.4c</w:t>
            </w:r>
          </w:p>
        </w:tc>
        <w:tc>
          <w:tcPr>
            <w:tcW w:w="3969" w:type="dxa"/>
          </w:tcPr>
          <w:p w14:paraId="642DCE29" w14:textId="77777777" w:rsidR="0050175E" w:rsidRPr="00600CAC" w:rsidRDefault="0050175E" w:rsidP="0050175E">
            <w:pPr>
              <w:pStyle w:val="Boxtext"/>
              <w:spacing w:after="0"/>
              <w:rPr>
                <w:rFonts w:ascii="Arial" w:hAnsi="Arial" w:cs="Arial"/>
              </w:rPr>
            </w:pPr>
            <w:r w:rsidRPr="00600CAC">
              <w:rPr>
                <w:rFonts w:ascii="Arial" w:hAnsi="Arial" w:cs="Arial"/>
              </w:rPr>
              <w:t>*Reason for cancellation</w:t>
            </w:r>
          </w:p>
          <w:p w14:paraId="4C4AF51A" w14:textId="43A013E4" w:rsidR="0050175E" w:rsidRPr="00600CAC" w:rsidRDefault="00C6531B" w:rsidP="00CB3B58">
            <w:pPr>
              <w:pStyle w:val="Boxtext"/>
              <w:rPr>
                <w:rFonts w:ascii="Arial" w:hAnsi="Arial" w:cs="Arial"/>
              </w:rPr>
            </w:pPr>
            <w:r w:rsidRPr="00600CAC">
              <w:rPr>
                <w:rFonts w:ascii="Arial" w:hAnsi="Arial" w:cs="Arial"/>
                <w:i/>
                <w:sz w:val="16"/>
                <w:szCs w:val="16"/>
              </w:rPr>
              <w:t>A</w:t>
            </w:r>
            <w:r w:rsidR="008F4C82" w:rsidRPr="00600CAC">
              <w:rPr>
                <w:rFonts w:ascii="Arial" w:hAnsi="Arial" w:cs="Arial"/>
                <w:i/>
                <w:sz w:val="16"/>
                <w:szCs w:val="16"/>
              </w:rPr>
              <w:t xml:space="preserve">nswer this question if your response to </w:t>
            </w:r>
            <w:r w:rsidR="00D40FF8" w:rsidRPr="00600CAC">
              <w:rPr>
                <w:rFonts w:ascii="Arial" w:hAnsi="Arial" w:cs="Arial"/>
                <w:i/>
                <w:sz w:val="16"/>
                <w:szCs w:val="16"/>
              </w:rPr>
              <w:t>Q </w:t>
            </w:r>
            <w:r w:rsidR="008F4C82" w:rsidRPr="00600CAC">
              <w:rPr>
                <w:rFonts w:ascii="Arial" w:hAnsi="Arial" w:cs="Arial"/>
                <w:i/>
                <w:sz w:val="16"/>
                <w:szCs w:val="16"/>
              </w:rPr>
              <w:t xml:space="preserve">1.4 is </w:t>
            </w:r>
            <w:r w:rsidR="0050175E" w:rsidRPr="00600CAC">
              <w:rPr>
                <w:rFonts w:ascii="Arial" w:hAnsi="Arial" w:cs="Arial"/>
                <w:i/>
                <w:sz w:val="16"/>
                <w:szCs w:val="16"/>
              </w:rPr>
              <w:t>“Cancellation</w:t>
            </w:r>
            <w:r w:rsidR="008F4C82" w:rsidRPr="00600CAC">
              <w:rPr>
                <w:rFonts w:ascii="Arial" w:hAnsi="Arial" w:cs="Arial"/>
                <w:i/>
                <w:sz w:val="16"/>
                <w:szCs w:val="16"/>
              </w:rPr>
              <w:t xml:space="preserve"> of previous announcement</w:t>
            </w:r>
            <w:r w:rsidR="0050175E" w:rsidRPr="00600CAC">
              <w:rPr>
                <w:rFonts w:ascii="Arial" w:hAnsi="Arial" w:cs="Arial"/>
                <w:i/>
                <w:sz w:val="16"/>
                <w:szCs w:val="16"/>
              </w:rPr>
              <w:t>”.</w:t>
            </w:r>
          </w:p>
        </w:tc>
        <w:tc>
          <w:tcPr>
            <w:tcW w:w="3969" w:type="dxa"/>
          </w:tcPr>
          <w:p w14:paraId="72A9CA19" w14:textId="77777777" w:rsidR="0050175E" w:rsidRPr="00600CAC" w:rsidRDefault="0050175E" w:rsidP="003B3C21">
            <w:pPr>
              <w:pStyle w:val="Boxtext"/>
              <w:rPr>
                <w:rFonts w:ascii="Arial" w:hAnsi="Arial" w:cs="Arial"/>
              </w:rPr>
            </w:pPr>
          </w:p>
        </w:tc>
      </w:tr>
      <w:tr w:rsidR="002B0295" w:rsidRPr="00600CAC" w14:paraId="63D26764" w14:textId="77777777" w:rsidTr="00E073A2">
        <w:tc>
          <w:tcPr>
            <w:tcW w:w="1134" w:type="dxa"/>
          </w:tcPr>
          <w:p w14:paraId="01919AF2" w14:textId="77777777" w:rsidR="0050175E" w:rsidRPr="00600CAC" w:rsidRDefault="0050175E" w:rsidP="0050175E">
            <w:pPr>
              <w:pStyle w:val="Boxtext"/>
              <w:tabs>
                <w:tab w:val="clear" w:pos="851"/>
              </w:tabs>
              <w:rPr>
                <w:rFonts w:ascii="Arial" w:hAnsi="Arial" w:cs="Arial"/>
              </w:rPr>
            </w:pPr>
            <w:r w:rsidRPr="00600CAC">
              <w:rPr>
                <w:rFonts w:ascii="Arial" w:hAnsi="Arial" w:cs="Arial"/>
              </w:rPr>
              <w:t>1.4d</w:t>
            </w:r>
          </w:p>
        </w:tc>
        <w:tc>
          <w:tcPr>
            <w:tcW w:w="3969" w:type="dxa"/>
          </w:tcPr>
          <w:p w14:paraId="49F1EF89" w14:textId="77777777" w:rsidR="0050175E" w:rsidRPr="00600CAC" w:rsidRDefault="0050175E" w:rsidP="0050175E">
            <w:pPr>
              <w:pStyle w:val="Boxtext"/>
              <w:rPr>
                <w:rFonts w:ascii="Arial" w:hAnsi="Arial" w:cs="Arial"/>
              </w:rPr>
            </w:pPr>
            <w:r w:rsidRPr="00600CAC">
              <w:rPr>
                <w:rFonts w:ascii="Arial" w:hAnsi="Arial" w:cs="Arial"/>
              </w:rPr>
              <w:t>*Date of previous announcement to this cancellation</w:t>
            </w:r>
          </w:p>
          <w:p w14:paraId="617F2865" w14:textId="6AE1C146" w:rsidR="0050175E" w:rsidRPr="00600CAC" w:rsidRDefault="00C6531B" w:rsidP="00CB3B58">
            <w:pPr>
              <w:pStyle w:val="Boxtext"/>
              <w:spacing w:after="0"/>
              <w:rPr>
                <w:rFonts w:ascii="Arial" w:hAnsi="Arial" w:cs="Arial"/>
              </w:rPr>
            </w:pPr>
            <w:r w:rsidRPr="00600CAC">
              <w:rPr>
                <w:rFonts w:ascii="Arial" w:hAnsi="Arial" w:cs="Arial"/>
                <w:i/>
                <w:sz w:val="16"/>
                <w:szCs w:val="16"/>
              </w:rPr>
              <w:t>A</w:t>
            </w:r>
            <w:r w:rsidR="008F4C82" w:rsidRPr="00600CAC">
              <w:rPr>
                <w:rFonts w:ascii="Arial" w:hAnsi="Arial" w:cs="Arial"/>
                <w:i/>
                <w:sz w:val="16"/>
                <w:szCs w:val="16"/>
              </w:rPr>
              <w:t xml:space="preserve">nswer this question if your response to </w:t>
            </w:r>
            <w:r w:rsidR="00D40FF8" w:rsidRPr="00600CAC">
              <w:rPr>
                <w:rFonts w:ascii="Arial" w:hAnsi="Arial" w:cs="Arial"/>
                <w:i/>
                <w:sz w:val="16"/>
                <w:szCs w:val="16"/>
              </w:rPr>
              <w:t>Q </w:t>
            </w:r>
            <w:r w:rsidR="008F4C82" w:rsidRPr="00600CAC">
              <w:rPr>
                <w:rFonts w:ascii="Arial" w:hAnsi="Arial" w:cs="Arial"/>
                <w:i/>
                <w:sz w:val="16"/>
                <w:szCs w:val="16"/>
              </w:rPr>
              <w:t xml:space="preserve">1.4 is </w:t>
            </w:r>
            <w:r w:rsidR="0050175E" w:rsidRPr="00600CAC">
              <w:rPr>
                <w:rFonts w:ascii="Arial" w:hAnsi="Arial" w:cs="Arial"/>
                <w:i/>
                <w:sz w:val="16"/>
                <w:szCs w:val="16"/>
              </w:rPr>
              <w:t>“Cancellation”.</w:t>
            </w:r>
          </w:p>
        </w:tc>
        <w:tc>
          <w:tcPr>
            <w:tcW w:w="3969" w:type="dxa"/>
          </w:tcPr>
          <w:p w14:paraId="663D96E3" w14:textId="77777777" w:rsidR="0050175E" w:rsidRPr="00600CAC" w:rsidRDefault="0050175E" w:rsidP="003B3C21">
            <w:pPr>
              <w:pStyle w:val="Boxtext"/>
              <w:rPr>
                <w:rFonts w:ascii="Arial" w:hAnsi="Arial" w:cs="Arial"/>
              </w:rPr>
            </w:pPr>
          </w:p>
        </w:tc>
      </w:tr>
      <w:tr w:rsidR="002B0295" w:rsidRPr="00600CAC" w14:paraId="17F18EFE" w14:textId="77777777" w:rsidTr="00E073A2">
        <w:tc>
          <w:tcPr>
            <w:tcW w:w="1134" w:type="dxa"/>
          </w:tcPr>
          <w:p w14:paraId="19D55ADF" w14:textId="77777777" w:rsidR="0050175E" w:rsidRPr="00600CAC" w:rsidRDefault="0050175E" w:rsidP="0050175E">
            <w:pPr>
              <w:pStyle w:val="Boxtext"/>
              <w:tabs>
                <w:tab w:val="clear" w:pos="851"/>
              </w:tabs>
              <w:rPr>
                <w:rFonts w:ascii="Arial" w:hAnsi="Arial" w:cs="Arial"/>
              </w:rPr>
            </w:pPr>
            <w:r w:rsidRPr="00600CAC">
              <w:rPr>
                <w:rFonts w:ascii="Arial" w:hAnsi="Arial" w:cs="Arial"/>
              </w:rPr>
              <w:t>1.5</w:t>
            </w:r>
          </w:p>
        </w:tc>
        <w:tc>
          <w:tcPr>
            <w:tcW w:w="3969" w:type="dxa"/>
          </w:tcPr>
          <w:p w14:paraId="290BD3F0" w14:textId="77777777" w:rsidR="0050175E" w:rsidRPr="00600CAC" w:rsidRDefault="0050175E" w:rsidP="0050175E">
            <w:pPr>
              <w:pStyle w:val="Boxtext"/>
              <w:rPr>
                <w:rFonts w:ascii="Arial" w:hAnsi="Arial" w:cs="Arial"/>
              </w:rPr>
            </w:pPr>
            <w:r w:rsidRPr="00600CAC">
              <w:rPr>
                <w:rFonts w:ascii="Arial" w:hAnsi="Arial" w:cs="Arial"/>
              </w:rPr>
              <w:t>*Date of this announcement</w:t>
            </w:r>
          </w:p>
        </w:tc>
        <w:tc>
          <w:tcPr>
            <w:tcW w:w="3969" w:type="dxa"/>
          </w:tcPr>
          <w:p w14:paraId="45CE5722" w14:textId="77777777" w:rsidR="0050175E" w:rsidRPr="00600CAC" w:rsidRDefault="0050175E" w:rsidP="0050175E">
            <w:pPr>
              <w:pStyle w:val="Boxtext"/>
              <w:rPr>
                <w:rFonts w:ascii="Arial" w:hAnsi="Arial" w:cs="Arial"/>
              </w:rPr>
            </w:pPr>
          </w:p>
        </w:tc>
      </w:tr>
    </w:tbl>
    <w:p w14:paraId="36920743" w14:textId="629C3630" w:rsidR="00261495" w:rsidRPr="00600CAC" w:rsidRDefault="00261495">
      <w:pPr>
        <w:pStyle w:val="Boxtext"/>
        <w:tabs>
          <w:tab w:val="clear" w:pos="851"/>
        </w:tabs>
        <w:rPr>
          <w:rFonts w:ascii="Arial" w:hAnsi="Arial" w:cs="Arial"/>
        </w:rPr>
        <w:sectPr w:rsidR="00261495" w:rsidRPr="00600CAC" w:rsidSect="00D40FF8">
          <w:headerReference w:type="default" r:id="rId12"/>
          <w:footerReference w:type="default" r:id="rId13"/>
          <w:headerReference w:type="first" r:id="rId14"/>
          <w:footerReference w:type="first" r:id="rId15"/>
          <w:pgSz w:w="11907" w:h="16840" w:code="9"/>
          <w:pgMar w:top="1418" w:right="1418" w:bottom="1134" w:left="1418" w:header="709" w:footer="709" w:gutter="0"/>
          <w:pgNumType w:start="1"/>
          <w:cols w:space="708"/>
          <w:titlePg/>
          <w:docGrid w:linePitch="360"/>
        </w:sectPr>
      </w:pPr>
    </w:p>
    <w:p w14:paraId="1AE282BA" w14:textId="61ABBC3B" w:rsidR="009D6C37" w:rsidRPr="00600CAC" w:rsidRDefault="00160CE7" w:rsidP="008B5A93">
      <w:pPr>
        <w:pStyle w:val="Heading1"/>
        <w:ind w:left="1276" w:hanging="1276"/>
      </w:pPr>
      <w:r w:rsidRPr="00600CAC">
        <w:lastRenderedPageBreak/>
        <w:t>Part 2 –</w:t>
      </w:r>
      <w:r w:rsidR="008B5A93" w:rsidRPr="00600CAC">
        <w:tab/>
      </w:r>
      <w:r w:rsidR="00693038" w:rsidRPr="00600CAC">
        <w:t xml:space="preserve">Details of </w:t>
      </w:r>
      <w:r w:rsidR="009E7EBA" w:rsidRPr="00600CAC">
        <w:t>+</w:t>
      </w:r>
      <w:r w:rsidR="00EF0676" w:rsidRPr="00600CAC">
        <w:t xml:space="preserve">equity securities or </w:t>
      </w:r>
      <w:r w:rsidR="008B5A93" w:rsidRPr="00600CAC">
        <w:t xml:space="preserve">quoted </w:t>
      </w:r>
      <w:r w:rsidR="009E7EBA" w:rsidRPr="00600CAC">
        <w:t>+</w:t>
      </w:r>
      <w:r w:rsidR="00EF0676" w:rsidRPr="00600CAC">
        <w:t xml:space="preserve">debt </w:t>
      </w:r>
      <w:r w:rsidR="008F74E9" w:rsidRPr="00600CAC">
        <w:t xml:space="preserve">securities </w:t>
      </w:r>
      <w:r w:rsidR="002E3A53" w:rsidRPr="00600CAC">
        <w:t xml:space="preserve">that have </w:t>
      </w:r>
      <w:r w:rsidR="001310DB" w:rsidRPr="00600CAC">
        <w:t>c</w:t>
      </w:r>
      <w:r w:rsidR="002E3A53" w:rsidRPr="00600CAC">
        <w:t>eased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3969"/>
      </w:tblGrid>
      <w:tr w:rsidR="002B0295" w:rsidRPr="00600CAC" w14:paraId="358B859C" w14:textId="77777777" w:rsidTr="00E073A2">
        <w:tc>
          <w:tcPr>
            <w:tcW w:w="1134" w:type="dxa"/>
            <w:shd w:val="clear" w:color="auto" w:fill="auto"/>
          </w:tcPr>
          <w:p w14:paraId="7EBDCA6C" w14:textId="77777777" w:rsidR="00D737B9" w:rsidRPr="00600CAC" w:rsidRDefault="00D737B9" w:rsidP="00D737B9">
            <w:pPr>
              <w:pStyle w:val="Boxtext"/>
              <w:rPr>
                <w:rFonts w:ascii="Arial" w:hAnsi="Arial" w:cs="Arial"/>
                <w:b/>
                <w:sz w:val="18"/>
                <w:szCs w:val="18"/>
              </w:rPr>
            </w:pPr>
            <w:r w:rsidRPr="00600CAC">
              <w:rPr>
                <w:rFonts w:ascii="Arial" w:hAnsi="Arial" w:cs="Arial"/>
                <w:b/>
              </w:rPr>
              <w:t>Question No.</w:t>
            </w:r>
          </w:p>
        </w:tc>
        <w:tc>
          <w:tcPr>
            <w:tcW w:w="3969" w:type="dxa"/>
            <w:shd w:val="clear" w:color="auto" w:fill="auto"/>
          </w:tcPr>
          <w:p w14:paraId="520B7B8F" w14:textId="77777777" w:rsidR="00D737B9" w:rsidRPr="00600CAC" w:rsidRDefault="00D737B9" w:rsidP="00D737B9">
            <w:pPr>
              <w:pStyle w:val="Boxtext"/>
              <w:rPr>
                <w:rFonts w:ascii="Arial" w:hAnsi="Arial" w:cs="Arial"/>
                <w:b/>
              </w:rPr>
            </w:pPr>
            <w:r w:rsidRPr="00600CAC">
              <w:rPr>
                <w:rFonts w:ascii="Arial" w:hAnsi="Arial" w:cs="Arial"/>
                <w:b/>
              </w:rPr>
              <w:t>Question</w:t>
            </w:r>
          </w:p>
        </w:tc>
        <w:tc>
          <w:tcPr>
            <w:tcW w:w="3969" w:type="dxa"/>
            <w:shd w:val="clear" w:color="auto" w:fill="auto"/>
          </w:tcPr>
          <w:p w14:paraId="1D8FED33" w14:textId="77777777" w:rsidR="00D737B9" w:rsidRPr="00600CAC" w:rsidRDefault="00D737B9" w:rsidP="00D737B9">
            <w:pPr>
              <w:pStyle w:val="Boxtext"/>
              <w:rPr>
                <w:rFonts w:ascii="Arial" w:hAnsi="Arial" w:cs="Arial"/>
                <w:b/>
              </w:rPr>
            </w:pPr>
            <w:r w:rsidRPr="00600CAC">
              <w:rPr>
                <w:rFonts w:ascii="Arial" w:hAnsi="Arial" w:cs="Arial"/>
                <w:b/>
              </w:rPr>
              <w:t>Answer</w:t>
            </w:r>
          </w:p>
        </w:tc>
      </w:tr>
      <w:tr w:rsidR="002B0295" w:rsidRPr="00600CAC" w14:paraId="2BF82E34" w14:textId="77777777" w:rsidTr="00E073A2">
        <w:tc>
          <w:tcPr>
            <w:tcW w:w="1134" w:type="dxa"/>
            <w:shd w:val="clear" w:color="auto" w:fill="auto"/>
          </w:tcPr>
          <w:p w14:paraId="44918178" w14:textId="0DFA36FC" w:rsidR="00D737B9" w:rsidRPr="00600CAC" w:rsidRDefault="008F4C82" w:rsidP="00D737B9">
            <w:pPr>
              <w:pStyle w:val="Boxtext"/>
              <w:rPr>
                <w:rFonts w:ascii="Arial" w:hAnsi="Arial" w:cs="Arial"/>
              </w:rPr>
            </w:pPr>
            <w:r w:rsidRPr="00600CAC">
              <w:rPr>
                <w:rFonts w:ascii="Arial" w:hAnsi="Arial" w:cs="Arial"/>
              </w:rPr>
              <w:t>2.1</w:t>
            </w:r>
          </w:p>
        </w:tc>
        <w:tc>
          <w:tcPr>
            <w:tcW w:w="3969" w:type="dxa"/>
            <w:shd w:val="clear" w:color="auto" w:fill="auto"/>
          </w:tcPr>
          <w:p w14:paraId="0CFC6062" w14:textId="6B2F0A42" w:rsidR="00D737B9" w:rsidRPr="00600CAC" w:rsidRDefault="001D4666" w:rsidP="00C80E99">
            <w:pPr>
              <w:tabs>
                <w:tab w:val="clear" w:pos="851"/>
              </w:tabs>
              <w:spacing w:before="60" w:after="60"/>
              <w:rPr>
                <w:rFonts w:cs="Arial"/>
              </w:rPr>
            </w:pPr>
            <w:r w:rsidRPr="001B7640">
              <w:rPr>
                <w:rFonts w:ascii="Helvetica" w:hAnsi="Helvetica" w:cs="Helvetica"/>
                <w:szCs w:val="20"/>
                <w:lang w:val="en-US"/>
              </w:rPr>
              <w:t>*</w:t>
            </w:r>
            <w:r w:rsidR="00D737B9" w:rsidRPr="001B7640">
              <w:rPr>
                <w:rFonts w:ascii="Helvetica" w:hAnsi="Helvetica" w:cs="Helvetica"/>
                <w:szCs w:val="20"/>
                <w:lang w:val="en-US"/>
              </w:rPr>
              <w:t>ASX +</w:t>
            </w:r>
            <w:r w:rsidR="00693038" w:rsidRPr="001B7640">
              <w:rPr>
                <w:rFonts w:ascii="Helvetica" w:hAnsi="Helvetica" w:cs="Helvetica"/>
                <w:szCs w:val="20"/>
                <w:lang w:val="en-US"/>
              </w:rPr>
              <w:t>s</w:t>
            </w:r>
            <w:r w:rsidR="00D737B9" w:rsidRPr="001B7640">
              <w:rPr>
                <w:rFonts w:ascii="Helvetica" w:hAnsi="Helvetica" w:cs="Helvetica"/>
                <w:szCs w:val="20"/>
                <w:lang w:val="en-US"/>
              </w:rPr>
              <w:t xml:space="preserve">ecurity </w:t>
            </w:r>
            <w:r w:rsidR="00693038" w:rsidRPr="001B7640">
              <w:rPr>
                <w:rFonts w:ascii="Helvetica" w:hAnsi="Helvetica" w:cs="Helvetica"/>
                <w:szCs w:val="20"/>
                <w:lang w:val="en-US"/>
              </w:rPr>
              <w:t>c</w:t>
            </w:r>
            <w:r w:rsidR="00D737B9" w:rsidRPr="001B7640">
              <w:rPr>
                <w:rFonts w:ascii="Helvetica" w:hAnsi="Helvetica" w:cs="Helvetica"/>
                <w:szCs w:val="20"/>
                <w:lang w:val="en-US"/>
              </w:rPr>
              <w:t xml:space="preserve">ode and </w:t>
            </w:r>
            <w:r w:rsidR="00693038" w:rsidRPr="001B7640">
              <w:rPr>
                <w:rFonts w:ascii="Helvetica" w:hAnsi="Helvetica" w:cs="Helvetica"/>
                <w:szCs w:val="20"/>
                <w:lang w:val="en-US"/>
              </w:rPr>
              <w:t>d</w:t>
            </w:r>
            <w:r w:rsidR="00D737B9" w:rsidRPr="001B7640">
              <w:rPr>
                <w:rFonts w:ascii="Helvetica" w:hAnsi="Helvetica" w:cs="Helvetica"/>
                <w:szCs w:val="20"/>
                <w:lang w:val="en-US"/>
              </w:rPr>
              <w:t>escription</w:t>
            </w:r>
          </w:p>
        </w:tc>
        <w:tc>
          <w:tcPr>
            <w:tcW w:w="3969" w:type="dxa"/>
            <w:shd w:val="clear" w:color="auto" w:fill="auto"/>
          </w:tcPr>
          <w:p w14:paraId="490A51FD" w14:textId="1C78337F" w:rsidR="00D737B9" w:rsidRPr="00600CAC" w:rsidRDefault="00D737B9" w:rsidP="00D737B9">
            <w:pPr>
              <w:pStyle w:val="Boxtext"/>
              <w:rPr>
                <w:rFonts w:ascii="Arial" w:hAnsi="Arial" w:cs="Arial"/>
              </w:rPr>
            </w:pPr>
          </w:p>
        </w:tc>
      </w:tr>
      <w:tr w:rsidR="002B0295" w:rsidRPr="00600CAC" w14:paraId="2C507ADD" w14:textId="77777777" w:rsidTr="00E073A2">
        <w:tc>
          <w:tcPr>
            <w:tcW w:w="1134" w:type="dxa"/>
            <w:shd w:val="clear" w:color="auto" w:fill="auto"/>
          </w:tcPr>
          <w:p w14:paraId="7521FB77" w14:textId="04DC6CFD" w:rsidR="008F74E9" w:rsidRPr="00600CAC" w:rsidRDefault="008F4C82" w:rsidP="008F74E9">
            <w:pPr>
              <w:pStyle w:val="Boxtext"/>
              <w:rPr>
                <w:rFonts w:ascii="Arial" w:hAnsi="Arial" w:cs="Arial"/>
              </w:rPr>
            </w:pPr>
            <w:r w:rsidRPr="00600CAC">
              <w:rPr>
                <w:rFonts w:ascii="Arial" w:hAnsi="Arial" w:cs="Arial"/>
              </w:rPr>
              <w:t>2.2</w:t>
            </w:r>
          </w:p>
        </w:tc>
        <w:tc>
          <w:tcPr>
            <w:tcW w:w="3969" w:type="dxa"/>
            <w:shd w:val="clear" w:color="auto" w:fill="auto"/>
          </w:tcPr>
          <w:p w14:paraId="33B8E796" w14:textId="1D7DCF37" w:rsidR="008F74E9" w:rsidRPr="00261495" w:rsidRDefault="008F74E9" w:rsidP="002E3A53">
            <w:pPr>
              <w:tabs>
                <w:tab w:val="clear" w:pos="851"/>
              </w:tabs>
              <w:spacing w:before="60" w:after="60"/>
              <w:rPr>
                <w:rFonts w:ascii="Helvetica" w:hAnsi="Helvetica" w:cs="Helvetica"/>
                <w:color w:val="000000" w:themeColor="text1"/>
                <w:szCs w:val="20"/>
                <w:lang w:val="en-US"/>
              </w:rPr>
            </w:pPr>
            <w:r w:rsidRPr="00261495">
              <w:rPr>
                <w:rFonts w:ascii="Helvetica" w:hAnsi="Helvetica" w:cs="Helvetica"/>
                <w:color w:val="000000" w:themeColor="text1"/>
                <w:szCs w:val="20"/>
                <w:lang w:val="en-US"/>
              </w:rPr>
              <w:t xml:space="preserve">*Number of securities </w:t>
            </w:r>
            <w:r w:rsidR="002E3A53" w:rsidRPr="00261495">
              <w:rPr>
                <w:rFonts w:ascii="Helvetica" w:hAnsi="Helvetica" w:cs="Helvetica"/>
                <w:color w:val="000000" w:themeColor="text1"/>
                <w:szCs w:val="20"/>
                <w:lang w:val="en-US"/>
              </w:rPr>
              <w:t>that have ceased</w:t>
            </w:r>
          </w:p>
        </w:tc>
        <w:tc>
          <w:tcPr>
            <w:tcW w:w="3969" w:type="dxa"/>
            <w:shd w:val="clear" w:color="auto" w:fill="auto"/>
          </w:tcPr>
          <w:p w14:paraId="579939EF" w14:textId="3DAB5C63" w:rsidR="008F74E9" w:rsidRPr="00261495" w:rsidRDefault="008F74E9" w:rsidP="00693038">
            <w:pPr>
              <w:pStyle w:val="Boxtext"/>
              <w:rPr>
                <w:rFonts w:ascii="Arial" w:hAnsi="Arial" w:cs="Arial"/>
                <w:color w:val="000000" w:themeColor="text1"/>
              </w:rPr>
            </w:pPr>
          </w:p>
        </w:tc>
      </w:tr>
      <w:tr w:rsidR="002B0295" w:rsidRPr="00600CAC" w14:paraId="2B5994D9" w14:textId="77777777" w:rsidTr="00E073A2">
        <w:tc>
          <w:tcPr>
            <w:tcW w:w="1134" w:type="dxa"/>
            <w:shd w:val="clear" w:color="auto" w:fill="auto"/>
          </w:tcPr>
          <w:p w14:paraId="6B114BD1" w14:textId="68CCA4D1" w:rsidR="00D737B9" w:rsidRPr="00600CAC" w:rsidRDefault="008F4C82">
            <w:pPr>
              <w:pStyle w:val="Boxtext"/>
              <w:rPr>
                <w:rFonts w:ascii="Arial" w:hAnsi="Arial" w:cs="Arial"/>
              </w:rPr>
            </w:pPr>
            <w:r w:rsidRPr="00600CAC">
              <w:rPr>
                <w:rFonts w:ascii="Arial" w:hAnsi="Arial" w:cs="Arial"/>
              </w:rPr>
              <w:t>2.3</w:t>
            </w:r>
          </w:p>
        </w:tc>
        <w:tc>
          <w:tcPr>
            <w:tcW w:w="3969" w:type="dxa"/>
            <w:shd w:val="clear" w:color="auto" w:fill="auto"/>
          </w:tcPr>
          <w:p w14:paraId="11968358" w14:textId="3B9DA9C5" w:rsidR="00D737B9" w:rsidRPr="001B7640" w:rsidRDefault="001D4666" w:rsidP="00D737B9">
            <w:pPr>
              <w:tabs>
                <w:tab w:val="clear" w:pos="851"/>
              </w:tabs>
              <w:spacing w:before="60" w:after="60"/>
              <w:rPr>
                <w:rFonts w:ascii="Helvetica" w:hAnsi="Helvetica" w:cs="Helvetica"/>
                <w:szCs w:val="20"/>
                <w:lang w:val="en-US"/>
              </w:rPr>
            </w:pPr>
            <w:r w:rsidRPr="001B7640">
              <w:rPr>
                <w:rFonts w:ascii="Helvetica" w:hAnsi="Helvetica" w:cs="Helvetica"/>
                <w:szCs w:val="20"/>
                <w:lang w:val="en-US"/>
              </w:rPr>
              <w:t>*</w:t>
            </w:r>
            <w:r w:rsidR="002E3A53" w:rsidRPr="001B7640">
              <w:rPr>
                <w:rFonts w:ascii="Helvetica" w:hAnsi="Helvetica" w:cs="Helvetica"/>
                <w:szCs w:val="20"/>
                <w:lang w:val="en-US"/>
              </w:rPr>
              <w:t>Reason for cessation</w:t>
            </w:r>
          </w:p>
          <w:p w14:paraId="56398888" w14:textId="46AAB2C7" w:rsidR="001D4666" w:rsidRPr="001B7640" w:rsidRDefault="001D4666" w:rsidP="0097531E">
            <w:pPr>
              <w:tabs>
                <w:tab w:val="clear" w:pos="851"/>
              </w:tabs>
              <w:spacing w:before="60" w:after="60"/>
              <w:rPr>
                <w:rFonts w:ascii="Helvetica" w:hAnsi="Helvetica" w:cs="Helvetica"/>
                <w:i/>
                <w:sz w:val="16"/>
                <w:szCs w:val="16"/>
                <w:lang w:val="en-US"/>
              </w:rPr>
            </w:pPr>
            <w:r w:rsidRPr="001B7640">
              <w:rPr>
                <w:rFonts w:ascii="Helvetica" w:hAnsi="Helvetica" w:cs="Helvetica"/>
                <w:i/>
                <w:sz w:val="16"/>
                <w:szCs w:val="16"/>
                <w:lang w:val="en-US"/>
              </w:rPr>
              <w:t xml:space="preserve">Note: the </w:t>
            </w:r>
            <w:r w:rsidR="0097531E" w:rsidRPr="001B7640">
              <w:rPr>
                <w:rFonts w:ascii="Helvetica" w:hAnsi="Helvetica" w:cs="Helvetica"/>
                <w:i/>
                <w:sz w:val="16"/>
                <w:szCs w:val="16"/>
                <w:lang w:val="en-US"/>
              </w:rPr>
              <w:t>conversion of a convertible security (which is notifiable to ASX under Listing Rule 3.10.3B) is not regarded as the “cessation” of the convertible security for the purposes of this rule. Likewise, the payment up of a partly paid security resulting in it becoming a fully paid security (which is notifiable to ASX under Listing Rule 3.10.3D) is not regarded as the “cessation” of the partly paid security for the purposes of this rule</w:t>
            </w:r>
            <w:r w:rsidR="004F6BF4" w:rsidRPr="001B7640">
              <w:rPr>
                <w:rFonts w:ascii="Helvetica" w:hAnsi="Helvetica" w:cs="Helvetica"/>
                <w:i/>
                <w:sz w:val="16"/>
                <w:szCs w:val="16"/>
                <w:lang w:val="en-US"/>
              </w:rPr>
              <w:t>.</w:t>
            </w:r>
          </w:p>
        </w:tc>
        <w:tc>
          <w:tcPr>
            <w:tcW w:w="3969" w:type="dxa"/>
            <w:shd w:val="clear" w:color="auto" w:fill="auto"/>
          </w:tcPr>
          <w:p w14:paraId="60DD668E" w14:textId="3110E636" w:rsidR="002E3A53" w:rsidRPr="001B7640" w:rsidRDefault="009872B8" w:rsidP="00C227CC">
            <w:pPr>
              <w:tabs>
                <w:tab w:val="clear" w:pos="851"/>
              </w:tabs>
              <w:ind w:left="316" w:hanging="360"/>
              <w:rPr>
                <w:rFonts w:ascii="Helvetica" w:hAnsi="Helvetica" w:cs="Helvetica"/>
                <w:iCs/>
                <w:szCs w:val="20"/>
                <w:lang w:val="en-US"/>
              </w:rPr>
            </w:pPr>
            <w:sdt>
              <w:sdtPr>
                <w:rPr>
                  <w:rFonts w:ascii="MS Gothic" w:eastAsia="MS Gothic" w:hAnsi="MS Gothic" w:cs="Arial"/>
                </w:rPr>
                <w:id w:val="-1683657353"/>
                <w14:checkbox>
                  <w14:checked w14:val="0"/>
                  <w14:checkedState w14:val="2612" w14:font="MS Gothic"/>
                  <w14:uncheckedState w14:val="2610" w14:font="MS Gothic"/>
                </w14:checkbox>
              </w:sdtPr>
              <w:sdtEndPr/>
              <w:sdtContent>
                <w:r w:rsidR="004F6BF4" w:rsidRPr="00F15A5E">
                  <w:rPr>
                    <w:rFonts w:ascii="MS Gothic" w:eastAsia="MS Gothic" w:hAnsi="MS Gothic" w:cs="Arial"/>
                  </w:rPr>
                  <w:t>☐</w:t>
                </w:r>
              </w:sdtContent>
            </w:sdt>
            <w:r w:rsidR="00C227CC" w:rsidRPr="00F15A5E">
              <w:rPr>
                <w:rFonts w:ascii="MS Gothic" w:eastAsia="MS Gothic" w:hAnsi="MS Gothic" w:cs="Arial"/>
                <w:iCs/>
              </w:rPr>
              <w:tab/>
            </w:r>
            <w:r w:rsidR="002E3A53" w:rsidRPr="001B7640">
              <w:rPr>
                <w:rFonts w:ascii="Helvetica" w:hAnsi="Helvetica" w:cs="Helvetica"/>
                <w:iCs/>
                <w:szCs w:val="20"/>
                <w:lang w:val="en-US"/>
              </w:rPr>
              <w:t xml:space="preserve">Expiry of option </w:t>
            </w:r>
            <w:r w:rsidR="00012DCE" w:rsidRPr="001B7640">
              <w:rPr>
                <w:rFonts w:ascii="Helvetica" w:hAnsi="Helvetica" w:cs="Helvetica"/>
                <w:iCs/>
                <w:szCs w:val="20"/>
                <w:lang w:val="en-US"/>
              </w:rPr>
              <w:t xml:space="preserve">or other convertible security </w:t>
            </w:r>
            <w:r w:rsidR="002E3A53" w:rsidRPr="001B7640">
              <w:rPr>
                <w:rFonts w:ascii="Helvetica" w:hAnsi="Helvetica" w:cs="Helvetica"/>
                <w:iCs/>
                <w:szCs w:val="20"/>
                <w:lang w:val="en-US"/>
              </w:rPr>
              <w:t>without exercise</w:t>
            </w:r>
            <w:r w:rsidR="00012DCE" w:rsidRPr="001B7640">
              <w:rPr>
                <w:rFonts w:ascii="Helvetica" w:hAnsi="Helvetica" w:cs="Helvetica"/>
                <w:iCs/>
                <w:szCs w:val="20"/>
                <w:lang w:val="en-US"/>
              </w:rPr>
              <w:t xml:space="preserve"> or conversion</w:t>
            </w:r>
          </w:p>
          <w:p w14:paraId="21E5A9DE" w14:textId="077F39F5" w:rsidR="00F14372" w:rsidRPr="001B7640" w:rsidRDefault="009872B8" w:rsidP="00F14372">
            <w:pPr>
              <w:tabs>
                <w:tab w:val="clear" w:pos="851"/>
              </w:tabs>
              <w:ind w:left="316" w:hanging="360"/>
              <w:rPr>
                <w:rFonts w:ascii="Helvetica" w:hAnsi="Helvetica" w:cs="Helvetica"/>
                <w:iCs/>
                <w:szCs w:val="20"/>
                <w:lang w:val="en-US"/>
              </w:rPr>
            </w:pPr>
            <w:sdt>
              <w:sdtPr>
                <w:rPr>
                  <w:rFonts w:ascii="MS Gothic" w:eastAsia="MS Gothic" w:hAnsi="MS Gothic" w:cs="Arial"/>
                </w:rPr>
                <w:id w:val="-1166932725"/>
                <w14:checkbox>
                  <w14:checked w14:val="0"/>
                  <w14:checkedState w14:val="2612" w14:font="MS Gothic"/>
                  <w14:uncheckedState w14:val="2610" w14:font="MS Gothic"/>
                </w14:checkbox>
              </w:sdtPr>
              <w:sdtEndPr/>
              <w:sdtContent>
                <w:r w:rsidR="00F14372" w:rsidRPr="00F15A5E">
                  <w:rPr>
                    <w:rFonts w:ascii="MS Gothic" w:eastAsia="MS Gothic" w:hAnsi="MS Gothic" w:cs="Arial"/>
                  </w:rPr>
                  <w:t>☐</w:t>
                </w:r>
              </w:sdtContent>
            </w:sdt>
            <w:r w:rsidR="00F14372" w:rsidRPr="00F15A5E">
              <w:rPr>
                <w:rFonts w:ascii="MS Gothic" w:eastAsia="MS Gothic" w:hAnsi="MS Gothic" w:cs="Arial"/>
                <w:iCs/>
              </w:rPr>
              <w:tab/>
            </w:r>
            <w:r w:rsidR="00F14372" w:rsidRPr="001B7640">
              <w:rPr>
                <w:rFonts w:ascii="Helvetica" w:hAnsi="Helvetica" w:cs="Helvetica"/>
                <w:iCs/>
                <w:szCs w:val="20"/>
                <w:lang w:val="en-US"/>
              </w:rPr>
              <w:t xml:space="preserve">Lapse of </w:t>
            </w:r>
            <w:r w:rsidR="00012DCE" w:rsidRPr="001B7640">
              <w:rPr>
                <w:rFonts w:ascii="Helvetica" w:hAnsi="Helvetica" w:cs="Helvetica"/>
                <w:iCs/>
                <w:szCs w:val="20"/>
                <w:lang w:val="en-US"/>
              </w:rPr>
              <w:t xml:space="preserve">conditional </w:t>
            </w:r>
            <w:r w:rsidR="00F14372" w:rsidRPr="001B7640">
              <w:rPr>
                <w:rFonts w:ascii="Helvetica" w:hAnsi="Helvetica" w:cs="Helvetica"/>
                <w:iCs/>
                <w:szCs w:val="20"/>
                <w:lang w:val="en-US"/>
              </w:rPr>
              <w:t>right to securities</w:t>
            </w:r>
            <w:r w:rsidR="000E1BB4" w:rsidRPr="001B7640">
              <w:rPr>
                <w:rFonts w:ascii="Helvetica" w:hAnsi="Helvetica" w:cs="Helvetica"/>
                <w:iCs/>
                <w:szCs w:val="20"/>
                <w:lang w:val="en-US"/>
              </w:rPr>
              <w:t xml:space="preserve"> </w:t>
            </w:r>
            <w:r w:rsidR="00012DCE" w:rsidRPr="001B7640">
              <w:rPr>
                <w:rFonts w:ascii="Helvetica" w:hAnsi="Helvetica" w:cs="Helvetica"/>
                <w:iCs/>
                <w:szCs w:val="20"/>
                <w:lang w:val="en-US"/>
              </w:rPr>
              <w:t>because the</w:t>
            </w:r>
            <w:r w:rsidR="000E1BB4" w:rsidRPr="001B7640">
              <w:rPr>
                <w:rFonts w:ascii="Helvetica" w:hAnsi="Helvetica" w:cs="Helvetica"/>
                <w:iCs/>
                <w:szCs w:val="20"/>
                <w:lang w:val="en-US"/>
              </w:rPr>
              <w:t xml:space="preserve"> conditions </w:t>
            </w:r>
            <w:r w:rsidR="00012DCE" w:rsidRPr="001B7640">
              <w:rPr>
                <w:rFonts w:ascii="Helvetica" w:hAnsi="Helvetica" w:cs="Helvetica"/>
                <w:iCs/>
                <w:szCs w:val="20"/>
                <w:lang w:val="en-US"/>
              </w:rPr>
              <w:t xml:space="preserve">have not been, or have become incapable of </w:t>
            </w:r>
            <w:r w:rsidR="000E1BB4" w:rsidRPr="001B7640">
              <w:rPr>
                <w:rFonts w:ascii="Helvetica" w:hAnsi="Helvetica" w:cs="Helvetica"/>
                <w:iCs/>
                <w:szCs w:val="20"/>
                <w:lang w:val="en-US"/>
              </w:rPr>
              <w:t>being</w:t>
            </w:r>
            <w:r w:rsidR="00012DCE" w:rsidRPr="001B7640">
              <w:rPr>
                <w:rFonts w:ascii="Helvetica" w:hAnsi="Helvetica" w:cs="Helvetica"/>
                <w:iCs/>
                <w:szCs w:val="20"/>
                <w:lang w:val="en-US"/>
              </w:rPr>
              <w:t>,</w:t>
            </w:r>
            <w:r w:rsidR="000E1BB4" w:rsidRPr="001B7640">
              <w:rPr>
                <w:rFonts w:ascii="Helvetica" w:hAnsi="Helvetica" w:cs="Helvetica"/>
                <w:iCs/>
                <w:szCs w:val="20"/>
                <w:lang w:val="en-US"/>
              </w:rPr>
              <w:t xml:space="preserve"> satisfied</w:t>
            </w:r>
          </w:p>
          <w:p w14:paraId="7EDB3D35" w14:textId="3D4C5A40" w:rsidR="008F4C82" w:rsidRPr="001B7640" w:rsidRDefault="009872B8" w:rsidP="008F4C82">
            <w:pPr>
              <w:tabs>
                <w:tab w:val="clear" w:pos="851"/>
              </w:tabs>
              <w:ind w:left="316" w:hanging="360"/>
              <w:rPr>
                <w:rFonts w:ascii="Helvetica" w:hAnsi="Helvetica" w:cs="Helvetica"/>
                <w:iCs/>
                <w:szCs w:val="20"/>
                <w:lang w:val="en-US"/>
              </w:rPr>
            </w:pPr>
            <w:sdt>
              <w:sdtPr>
                <w:rPr>
                  <w:rFonts w:ascii="MS Gothic" w:eastAsia="MS Gothic" w:hAnsi="MS Gothic" w:cs="Arial"/>
                </w:rPr>
                <w:id w:val="-826439283"/>
                <w14:checkbox>
                  <w14:checked w14:val="0"/>
                  <w14:checkedState w14:val="2612" w14:font="MS Gothic"/>
                  <w14:uncheckedState w14:val="2610" w14:font="MS Gothic"/>
                </w14:checkbox>
              </w:sdtPr>
              <w:sdtEndPr/>
              <w:sdtContent>
                <w:r w:rsidR="00F14372" w:rsidRPr="00F15A5E">
                  <w:rPr>
                    <w:rFonts w:ascii="MS Gothic" w:eastAsia="MS Gothic" w:hAnsi="MS Gothic" w:cs="Arial"/>
                  </w:rPr>
                  <w:t>☐</w:t>
                </w:r>
              </w:sdtContent>
            </w:sdt>
            <w:r w:rsidR="00F14372" w:rsidRPr="00F15A5E">
              <w:rPr>
                <w:rFonts w:ascii="MS Gothic" w:eastAsia="MS Gothic" w:hAnsi="MS Gothic" w:cs="Arial"/>
                <w:iCs/>
              </w:rPr>
              <w:tab/>
            </w:r>
            <w:r w:rsidR="008F4C82" w:rsidRPr="001B7640">
              <w:rPr>
                <w:rFonts w:ascii="Helvetica" w:hAnsi="Helvetica" w:cs="Helvetica"/>
                <w:iCs/>
                <w:szCs w:val="20"/>
                <w:lang w:val="en-US"/>
              </w:rPr>
              <w:t>Cancellation pursuant to a minimum holding buy-back</w:t>
            </w:r>
          </w:p>
          <w:p w14:paraId="283D1C94" w14:textId="1F2AED81" w:rsidR="008F4C82" w:rsidRPr="001B7640" w:rsidRDefault="009872B8" w:rsidP="008F4C82">
            <w:pPr>
              <w:tabs>
                <w:tab w:val="clear" w:pos="851"/>
              </w:tabs>
              <w:ind w:left="316" w:hanging="360"/>
              <w:rPr>
                <w:rFonts w:ascii="Helvetica" w:hAnsi="Helvetica" w:cs="Helvetica"/>
                <w:iCs/>
                <w:szCs w:val="20"/>
                <w:lang w:val="en-US"/>
              </w:rPr>
            </w:pPr>
            <w:sdt>
              <w:sdtPr>
                <w:rPr>
                  <w:rFonts w:ascii="MS Gothic" w:eastAsia="MS Gothic" w:hAnsi="MS Gothic" w:cs="Arial"/>
                </w:rPr>
                <w:id w:val="-400374672"/>
                <w14:checkbox>
                  <w14:checked w14:val="0"/>
                  <w14:checkedState w14:val="2612" w14:font="MS Gothic"/>
                  <w14:uncheckedState w14:val="2610" w14:font="MS Gothic"/>
                </w14:checkbox>
              </w:sdtPr>
              <w:sdtEndPr/>
              <w:sdtContent>
                <w:r w:rsidR="005F4D8E" w:rsidRPr="00F15A5E">
                  <w:rPr>
                    <w:rFonts w:ascii="MS Gothic" w:eastAsia="MS Gothic" w:hAnsi="MS Gothic" w:cs="Arial"/>
                  </w:rPr>
                  <w:t>☐</w:t>
                </w:r>
              </w:sdtContent>
            </w:sdt>
            <w:r w:rsidR="008F4C82" w:rsidRPr="00F15A5E">
              <w:rPr>
                <w:rFonts w:cs="Arial"/>
              </w:rPr>
              <w:tab/>
            </w:r>
            <w:r w:rsidR="008F4C82" w:rsidRPr="001B7640">
              <w:rPr>
                <w:rFonts w:ascii="Helvetica" w:hAnsi="Helvetica" w:cs="Helvetica"/>
                <w:iCs/>
                <w:szCs w:val="20"/>
                <w:lang w:val="en-US"/>
              </w:rPr>
              <w:t>Cancellation pursuant to an employee share scheme buy-back</w:t>
            </w:r>
          </w:p>
          <w:p w14:paraId="79EB7FAA" w14:textId="146DFD55" w:rsidR="008F74E9" w:rsidRPr="001B7640" w:rsidRDefault="009872B8" w:rsidP="00C227CC">
            <w:pPr>
              <w:tabs>
                <w:tab w:val="clear" w:pos="851"/>
              </w:tabs>
              <w:ind w:left="316" w:hanging="360"/>
              <w:rPr>
                <w:rFonts w:ascii="Helvetica" w:hAnsi="Helvetica" w:cs="Helvetica"/>
                <w:szCs w:val="20"/>
                <w:lang w:val="en-US"/>
              </w:rPr>
            </w:pPr>
            <w:sdt>
              <w:sdtPr>
                <w:rPr>
                  <w:rFonts w:ascii="MS Gothic" w:eastAsia="MS Gothic" w:hAnsi="MS Gothic" w:cs="Arial"/>
                </w:rPr>
                <w:id w:val="838576775"/>
                <w14:checkbox>
                  <w14:checked w14:val="0"/>
                  <w14:checkedState w14:val="2612" w14:font="MS Gothic"/>
                  <w14:uncheckedState w14:val="2610" w14:font="MS Gothic"/>
                </w14:checkbox>
              </w:sdtPr>
              <w:sdtEndPr/>
              <w:sdtContent>
                <w:r w:rsidR="008F4C82" w:rsidRPr="00F15A5E">
                  <w:rPr>
                    <w:rFonts w:ascii="MS Gothic" w:eastAsia="MS Gothic" w:hAnsi="MS Gothic" w:cs="Arial"/>
                  </w:rPr>
                  <w:t>☐</w:t>
                </w:r>
              </w:sdtContent>
            </w:sdt>
            <w:r w:rsidR="002E3A53" w:rsidRPr="00F15A5E">
              <w:rPr>
                <w:rFonts w:ascii="MS Gothic" w:eastAsia="MS Gothic" w:hAnsi="MS Gothic" w:cs="Arial"/>
                <w:iCs/>
              </w:rPr>
              <w:tab/>
            </w:r>
            <w:r w:rsidR="008F74E9" w:rsidRPr="001B7640">
              <w:rPr>
                <w:rFonts w:ascii="Helvetica" w:hAnsi="Helvetica" w:cs="Helvetica"/>
                <w:iCs/>
                <w:szCs w:val="20"/>
                <w:lang w:val="en-US"/>
              </w:rPr>
              <w:t>Cancellation pursuant to</w:t>
            </w:r>
            <w:r w:rsidR="00C227CC" w:rsidRPr="001B7640">
              <w:rPr>
                <w:rFonts w:ascii="Helvetica" w:hAnsi="Helvetica" w:cs="Helvetica"/>
                <w:iCs/>
                <w:szCs w:val="20"/>
                <w:lang w:val="en-US"/>
              </w:rPr>
              <w:t xml:space="preserve"> </w:t>
            </w:r>
            <w:r w:rsidR="008F74E9" w:rsidRPr="001B7640">
              <w:rPr>
                <w:rFonts w:ascii="Helvetica" w:hAnsi="Helvetica" w:cs="Helvetica"/>
                <w:iCs/>
                <w:szCs w:val="20"/>
                <w:lang w:val="en-US"/>
              </w:rPr>
              <w:t xml:space="preserve">an </w:t>
            </w:r>
            <w:r w:rsidR="00453EC9" w:rsidRPr="001B7640">
              <w:rPr>
                <w:rFonts w:ascii="Helvetica" w:hAnsi="Helvetica" w:cs="Helvetica"/>
                <w:iCs/>
                <w:szCs w:val="20"/>
                <w:lang w:val="en-US"/>
              </w:rPr>
              <w:t>o</w:t>
            </w:r>
            <w:r w:rsidR="008F74E9" w:rsidRPr="001B7640">
              <w:rPr>
                <w:rFonts w:ascii="Helvetica" w:hAnsi="Helvetica" w:cs="Helvetica"/>
                <w:iCs/>
                <w:szCs w:val="20"/>
                <w:lang w:val="en-US"/>
              </w:rPr>
              <w:t>n</w:t>
            </w:r>
            <w:r w:rsidR="00453EC9" w:rsidRPr="001B7640">
              <w:rPr>
                <w:rFonts w:ascii="Helvetica" w:hAnsi="Helvetica" w:cs="Helvetica"/>
                <w:iCs/>
                <w:szCs w:val="20"/>
                <w:lang w:val="en-US"/>
              </w:rPr>
              <w:t>-m</w:t>
            </w:r>
            <w:r w:rsidR="008F74E9" w:rsidRPr="001B7640">
              <w:rPr>
                <w:rFonts w:ascii="Helvetica" w:hAnsi="Helvetica" w:cs="Helvetica"/>
                <w:iCs/>
                <w:szCs w:val="20"/>
                <w:lang w:val="en-US"/>
              </w:rPr>
              <w:t xml:space="preserve">arket </w:t>
            </w:r>
            <w:r w:rsidR="00453EC9" w:rsidRPr="001B7640">
              <w:rPr>
                <w:rFonts w:ascii="Helvetica" w:hAnsi="Helvetica" w:cs="Helvetica"/>
                <w:iCs/>
                <w:szCs w:val="20"/>
                <w:lang w:val="en-US"/>
              </w:rPr>
              <w:t>b</w:t>
            </w:r>
            <w:r w:rsidR="008F74E9" w:rsidRPr="001B7640">
              <w:rPr>
                <w:rFonts w:ascii="Helvetica" w:hAnsi="Helvetica" w:cs="Helvetica"/>
                <w:iCs/>
                <w:szCs w:val="20"/>
                <w:lang w:val="en-US"/>
              </w:rPr>
              <w:t>uy</w:t>
            </w:r>
            <w:r w:rsidR="008F4C82" w:rsidRPr="001B7640">
              <w:rPr>
                <w:rFonts w:ascii="Helvetica" w:hAnsi="Helvetica" w:cs="Helvetica"/>
                <w:iCs/>
                <w:szCs w:val="20"/>
                <w:lang w:val="en-US"/>
              </w:rPr>
              <w:t>-</w:t>
            </w:r>
            <w:r w:rsidR="00453EC9" w:rsidRPr="001B7640">
              <w:rPr>
                <w:rFonts w:ascii="Helvetica" w:hAnsi="Helvetica" w:cs="Helvetica"/>
                <w:iCs/>
                <w:szCs w:val="20"/>
                <w:lang w:val="en-US"/>
              </w:rPr>
              <w:t>b</w:t>
            </w:r>
            <w:r w:rsidR="008F74E9" w:rsidRPr="001B7640">
              <w:rPr>
                <w:rFonts w:ascii="Helvetica" w:hAnsi="Helvetica" w:cs="Helvetica"/>
                <w:iCs/>
                <w:szCs w:val="20"/>
                <w:lang w:val="en-US"/>
              </w:rPr>
              <w:t>ack</w:t>
            </w:r>
          </w:p>
          <w:p w14:paraId="1823A973" w14:textId="06A60312" w:rsidR="008F4C82" w:rsidRPr="001B7640" w:rsidRDefault="009872B8" w:rsidP="008F4C82">
            <w:pPr>
              <w:tabs>
                <w:tab w:val="clear" w:pos="851"/>
              </w:tabs>
              <w:ind w:left="316" w:hanging="360"/>
              <w:rPr>
                <w:rFonts w:ascii="Helvetica" w:hAnsi="Helvetica" w:cs="Helvetica"/>
                <w:iCs/>
                <w:szCs w:val="20"/>
                <w:lang w:val="en-US"/>
              </w:rPr>
            </w:pPr>
            <w:sdt>
              <w:sdtPr>
                <w:rPr>
                  <w:rFonts w:ascii="MS Gothic" w:eastAsia="MS Gothic" w:hAnsi="MS Gothic" w:cs="Arial"/>
                </w:rPr>
                <w:id w:val="1851141339"/>
                <w14:checkbox>
                  <w14:checked w14:val="0"/>
                  <w14:checkedState w14:val="2612" w14:font="MS Gothic"/>
                  <w14:uncheckedState w14:val="2610" w14:font="MS Gothic"/>
                </w14:checkbox>
              </w:sdtPr>
              <w:sdtEndPr/>
              <w:sdtContent>
                <w:r w:rsidR="008F4C82" w:rsidRPr="00F15A5E">
                  <w:rPr>
                    <w:rFonts w:ascii="MS Gothic" w:eastAsia="MS Gothic" w:hAnsi="MS Gothic" w:cs="Arial"/>
                  </w:rPr>
                  <w:t>☐</w:t>
                </w:r>
              </w:sdtContent>
            </w:sdt>
            <w:r w:rsidR="008F4C82" w:rsidRPr="00F15A5E">
              <w:rPr>
                <w:rFonts w:cs="Arial"/>
              </w:rPr>
              <w:tab/>
            </w:r>
            <w:r w:rsidR="008F4C82" w:rsidRPr="001B7640">
              <w:rPr>
                <w:rFonts w:ascii="Helvetica" w:hAnsi="Helvetica" w:cs="Helvetica"/>
                <w:iCs/>
                <w:szCs w:val="20"/>
                <w:lang w:val="en-US"/>
              </w:rPr>
              <w:t>Cancellation pursuant to an equal access scheme buy-back</w:t>
            </w:r>
          </w:p>
          <w:p w14:paraId="5A8D8488" w14:textId="4B65FC7F" w:rsidR="008F74E9" w:rsidRPr="001B7640" w:rsidRDefault="009872B8" w:rsidP="00C227CC">
            <w:pPr>
              <w:tabs>
                <w:tab w:val="clear" w:pos="851"/>
              </w:tabs>
              <w:ind w:left="316" w:hanging="360"/>
              <w:rPr>
                <w:rFonts w:ascii="Helvetica" w:hAnsi="Helvetica" w:cs="Helvetica"/>
                <w:szCs w:val="20"/>
                <w:lang w:val="en-US"/>
              </w:rPr>
            </w:pPr>
            <w:sdt>
              <w:sdtPr>
                <w:rPr>
                  <w:rFonts w:ascii="MS Gothic" w:eastAsia="MS Gothic" w:hAnsi="MS Gothic" w:cs="Arial"/>
                  <w:iCs/>
                </w:rPr>
                <w:id w:val="262352695"/>
                <w14:checkbox>
                  <w14:checked w14:val="0"/>
                  <w14:checkedState w14:val="2612" w14:font="MS Gothic"/>
                  <w14:uncheckedState w14:val="2610" w14:font="MS Gothic"/>
                </w14:checkbox>
              </w:sdtPr>
              <w:sdtEndPr/>
              <w:sdtContent>
                <w:r w:rsidR="008F74E9" w:rsidRPr="00F15A5E">
                  <w:rPr>
                    <w:rFonts w:ascii="MS Gothic" w:eastAsia="MS Gothic" w:hAnsi="MS Gothic" w:cs="Arial"/>
                  </w:rPr>
                  <w:t>☐</w:t>
                </w:r>
              </w:sdtContent>
            </w:sdt>
            <w:r w:rsidR="00C227CC" w:rsidRPr="00F15A5E">
              <w:rPr>
                <w:rFonts w:cs="Arial"/>
              </w:rPr>
              <w:tab/>
            </w:r>
            <w:r w:rsidR="008F74E9" w:rsidRPr="001B7640">
              <w:rPr>
                <w:rFonts w:ascii="Helvetica" w:hAnsi="Helvetica" w:cs="Helvetica"/>
                <w:szCs w:val="20"/>
                <w:lang w:val="en-US"/>
              </w:rPr>
              <w:t>Cancellation pursuant to</w:t>
            </w:r>
            <w:r w:rsidR="00C227CC" w:rsidRPr="001B7640">
              <w:rPr>
                <w:rFonts w:ascii="Helvetica" w:hAnsi="Helvetica" w:cs="Helvetica"/>
                <w:szCs w:val="20"/>
                <w:lang w:val="en-US"/>
              </w:rPr>
              <w:t xml:space="preserve"> </w:t>
            </w:r>
            <w:r w:rsidR="008F74E9" w:rsidRPr="001B7640">
              <w:rPr>
                <w:rFonts w:ascii="Helvetica" w:hAnsi="Helvetica" w:cs="Helvetica"/>
                <w:szCs w:val="20"/>
                <w:lang w:val="en-US"/>
              </w:rPr>
              <w:t xml:space="preserve">a </w:t>
            </w:r>
            <w:r w:rsidR="00453EC9" w:rsidRPr="001B7640">
              <w:rPr>
                <w:rFonts w:ascii="Helvetica" w:hAnsi="Helvetica" w:cs="Helvetica"/>
                <w:szCs w:val="20"/>
                <w:lang w:val="en-US"/>
              </w:rPr>
              <w:t>s</w:t>
            </w:r>
            <w:r w:rsidR="008F74E9" w:rsidRPr="001B7640">
              <w:rPr>
                <w:rFonts w:ascii="Helvetica" w:hAnsi="Helvetica" w:cs="Helvetica"/>
                <w:szCs w:val="20"/>
                <w:lang w:val="en-US"/>
              </w:rPr>
              <w:t xml:space="preserve">elective </w:t>
            </w:r>
            <w:r w:rsidR="00453EC9" w:rsidRPr="001B7640">
              <w:rPr>
                <w:rFonts w:ascii="Helvetica" w:hAnsi="Helvetica" w:cs="Helvetica"/>
                <w:szCs w:val="20"/>
                <w:lang w:val="en-US"/>
              </w:rPr>
              <w:t>b</w:t>
            </w:r>
            <w:r w:rsidR="008F74E9" w:rsidRPr="001B7640">
              <w:rPr>
                <w:rFonts w:ascii="Helvetica" w:hAnsi="Helvetica" w:cs="Helvetica"/>
                <w:szCs w:val="20"/>
                <w:lang w:val="en-US"/>
              </w:rPr>
              <w:t>uy</w:t>
            </w:r>
            <w:r w:rsidR="008F4C82" w:rsidRPr="001B7640">
              <w:rPr>
                <w:rFonts w:ascii="Helvetica" w:hAnsi="Helvetica" w:cs="Helvetica"/>
                <w:szCs w:val="20"/>
                <w:lang w:val="en-US"/>
              </w:rPr>
              <w:t>-</w:t>
            </w:r>
            <w:r w:rsidR="00453EC9" w:rsidRPr="001B7640">
              <w:rPr>
                <w:rFonts w:ascii="Helvetica" w:hAnsi="Helvetica" w:cs="Helvetica"/>
                <w:szCs w:val="20"/>
                <w:lang w:val="en-US"/>
              </w:rPr>
              <w:t>b</w:t>
            </w:r>
            <w:r w:rsidR="008F74E9" w:rsidRPr="001B7640">
              <w:rPr>
                <w:rFonts w:ascii="Helvetica" w:hAnsi="Helvetica" w:cs="Helvetica"/>
                <w:szCs w:val="20"/>
                <w:lang w:val="en-US"/>
              </w:rPr>
              <w:t>ack</w:t>
            </w:r>
          </w:p>
          <w:p w14:paraId="02224547" w14:textId="4FC6D452" w:rsidR="008F74E9" w:rsidRPr="001B7640" w:rsidRDefault="009872B8" w:rsidP="00C227CC">
            <w:pPr>
              <w:tabs>
                <w:tab w:val="clear" w:pos="851"/>
              </w:tabs>
              <w:ind w:left="316" w:hanging="360"/>
              <w:rPr>
                <w:rFonts w:ascii="Helvetica" w:hAnsi="Helvetica" w:cs="Helvetica"/>
                <w:iCs/>
                <w:szCs w:val="20"/>
                <w:lang w:val="en-US"/>
              </w:rPr>
            </w:pPr>
            <w:sdt>
              <w:sdtPr>
                <w:rPr>
                  <w:rFonts w:ascii="MS Gothic" w:eastAsia="MS Gothic" w:hAnsi="MS Gothic" w:cs="Arial"/>
                </w:rPr>
                <w:id w:val="14512744"/>
                <w14:checkbox>
                  <w14:checked w14:val="0"/>
                  <w14:checkedState w14:val="2612" w14:font="MS Gothic"/>
                  <w14:uncheckedState w14:val="2610" w14:font="MS Gothic"/>
                </w14:checkbox>
              </w:sdtPr>
              <w:sdtEndPr/>
              <w:sdtContent>
                <w:r w:rsidR="00F14372" w:rsidRPr="00F15A5E">
                  <w:rPr>
                    <w:rFonts w:ascii="MS Gothic" w:eastAsia="MS Gothic" w:hAnsi="MS Gothic" w:cs="Arial"/>
                  </w:rPr>
                  <w:t>☐</w:t>
                </w:r>
              </w:sdtContent>
            </w:sdt>
            <w:r w:rsidR="00C227CC" w:rsidRPr="00F15A5E">
              <w:rPr>
                <w:rFonts w:cs="Arial"/>
              </w:rPr>
              <w:tab/>
            </w:r>
            <w:r w:rsidR="008F74E9" w:rsidRPr="001B7640">
              <w:rPr>
                <w:rFonts w:ascii="Helvetica" w:hAnsi="Helvetica" w:cs="Helvetica"/>
                <w:iCs/>
                <w:szCs w:val="20"/>
                <w:lang w:val="en-US"/>
              </w:rPr>
              <w:t>Cancellation pursuant to</w:t>
            </w:r>
            <w:r w:rsidR="00C227CC" w:rsidRPr="001B7640">
              <w:rPr>
                <w:rFonts w:ascii="Helvetica" w:hAnsi="Helvetica" w:cs="Helvetica"/>
                <w:iCs/>
                <w:szCs w:val="20"/>
                <w:lang w:val="en-US"/>
              </w:rPr>
              <w:t xml:space="preserve"> </w:t>
            </w:r>
            <w:r w:rsidR="008F74E9" w:rsidRPr="001B7640">
              <w:rPr>
                <w:rFonts w:ascii="Helvetica" w:hAnsi="Helvetica" w:cs="Helvetica"/>
                <w:iCs/>
                <w:szCs w:val="20"/>
                <w:lang w:val="en-US"/>
              </w:rPr>
              <w:t>an</w:t>
            </w:r>
            <w:r w:rsidR="008F4C82" w:rsidRPr="001B7640">
              <w:rPr>
                <w:rFonts w:ascii="Helvetica" w:hAnsi="Helvetica" w:cs="Helvetica"/>
                <w:iCs/>
                <w:szCs w:val="20"/>
                <w:lang w:val="en-US"/>
              </w:rPr>
              <w:t xml:space="preserve">other form of </w:t>
            </w:r>
            <w:r w:rsidR="00453EC9" w:rsidRPr="001B7640">
              <w:rPr>
                <w:rFonts w:ascii="Helvetica" w:hAnsi="Helvetica" w:cs="Helvetica"/>
                <w:iCs/>
                <w:szCs w:val="20"/>
                <w:lang w:val="en-US"/>
              </w:rPr>
              <w:t>b</w:t>
            </w:r>
            <w:r w:rsidR="008F74E9" w:rsidRPr="001B7640">
              <w:rPr>
                <w:rFonts w:ascii="Helvetica" w:hAnsi="Helvetica" w:cs="Helvetica"/>
                <w:iCs/>
                <w:szCs w:val="20"/>
                <w:lang w:val="en-US"/>
              </w:rPr>
              <w:t xml:space="preserve">uy </w:t>
            </w:r>
            <w:r w:rsidR="00453EC9" w:rsidRPr="001B7640">
              <w:rPr>
                <w:rFonts w:ascii="Helvetica" w:hAnsi="Helvetica" w:cs="Helvetica"/>
                <w:iCs/>
                <w:szCs w:val="20"/>
                <w:lang w:val="en-US"/>
              </w:rPr>
              <w:t>b</w:t>
            </w:r>
            <w:r w:rsidR="008F74E9" w:rsidRPr="001B7640">
              <w:rPr>
                <w:rFonts w:ascii="Helvetica" w:hAnsi="Helvetica" w:cs="Helvetica"/>
                <w:iCs/>
                <w:szCs w:val="20"/>
                <w:lang w:val="en-US"/>
              </w:rPr>
              <w:t>ack</w:t>
            </w:r>
          </w:p>
          <w:p w14:paraId="5A2845ED" w14:textId="16DCE155" w:rsidR="00453EC9" w:rsidRPr="001B7640" w:rsidRDefault="009872B8" w:rsidP="00C227CC">
            <w:pPr>
              <w:tabs>
                <w:tab w:val="clear" w:pos="851"/>
              </w:tabs>
              <w:ind w:left="316" w:hanging="360"/>
              <w:rPr>
                <w:rFonts w:ascii="Helvetica" w:hAnsi="Helvetica" w:cs="Helvetica"/>
                <w:iCs/>
                <w:szCs w:val="20"/>
                <w:lang w:val="en-US"/>
              </w:rPr>
            </w:pPr>
            <w:sdt>
              <w:sdtPr>
                <w:rPr>
                  <w:rFonts w:ascii="MS Gothic" w:eastAsia="MS Gothic" w:hAnsi="MS Gothic" w:cs="Arial"/>
                </w:rPr>
                <w:id w:val="1215009777"/>
                <w14:checkbox>
                  <w14:checked w14:val="0"/>
                  <w14:checkedState w14:val="2612" w14:font="MS Gothic"/>
                  <w14:uncheckedState w14:val="2610" w14:font="MS Gothic"/>
                </w14:checkbox>
              </w:sdtPr>
              <w:sdtEndPr/>
              <w:sdtContent>
                <w:r w:rsidR="00F14372" w:rsidRPr="00F15A5E">
                  <w:rPr>
                    <w:rFonts w:ascii="MS Gothic" w:eastAsia="MS Gothic" w:hAnsi="MS Gothic" w:cs="Arial"/>
                  </w:rPr>
                  <w:t>☐</w:t>
                </w:r>
              </w:sdtContent>
            </w:sdt>
            <w:r w:rsidR="00453EC9" w:rsidRPr="00F15A5E">
              <w:rPr>
                <w:rFonts w:cs="Arial"/>
              </w:rPr>
              <w:tab/>
            </w:r>
            <w:r w:rsidR="00453EC9" w:rsidRPr="001B7640">
              <w:rPr>
                <w:rFonts w:ascii="Helvetica" w:hAnsi="Helvetica" w:cs="Helvetica"/>
                <w:iCs/>
                <w:szCs w:val="20"/>
                <w:lang w:val="en-US"/>
              </w:rPr>
              <w:t>Cancellation pursuant to a reduction of capital</w:t>
            </w:r>
          </w:p>
          <w:p w14:paraId="0D661939" w14:textId="0E754670" w:rsidR="00453EC9" w:rsidRPr="001B7640" w:rsidRDefault="009872B8" w:rsidP="00C227CC">
            <w:pPr>
              <w:tabs>
                <w:tab w:val="clear" w:pos="851"/>
              </w:tabs>
              <w:ind w:left="316" w:hanging="360"/>
              <w:rPr>
                <w:rFonts w:ascii="Helvetica" w:hAnsi="Helvetica" w:cs="Helvetica"/>
                <w:iCs/>
                <w:szCs w:val="20"/>
                <w:lang w:val="en-US"/>
              </w:rPr>
            </w:pPr>
            <w:sdt>
              <w:sdtPr>
                <w:rPr>
                  <w:rFonts w:ascii="MS Gothic" w:eastAsia="MS Gothic" w:hAnsi="MS Gothic" w:cs="Arial"/>
                </w:rPr>
                <w:id w:val="1863933659"/>
                <w14:checkbox>
                  <w14:checked w14:val="0"/>
                  <w14:checkedState w14:val="2612" w14:font="MS Gothic"/>
                  <w14:uncheckedState w14:val="2610" w14:font="MS Gothic"/>
                </w14:checkbox>
              </w:sdtPr>
              <w:sdtEndPr/>
              <w:sdtContent>
                <w:r w:rsidR="00F14372" w:rsidRPr="00F15A5E">
                  <w:rPr>
                    <w:rFonts w:ascii="MS Gothic" w:eastAsia="MS Gothic" w:hAnsi="MS Gothic" w:cs="Arial"/>
                  </w:rPr>
                  <w:t>☐</w:t>
                </w:r>
              </w:sdtContent>
            </w:sdt>
            <w:r w:rsidR="00453EC9" w:rsidRPr="00F15A5E">
              <w:rPr>
                <w:rFonts w:cs="Arial"/>
              </w:rPr>
              <w:tab/>
            </w:r>
            <w:r w:rsidR="00453EC9" w:rsidRPr="001B7640">
              <w:rPr>
                <w:rFonts w:ascii="Helvetica" w:hAnsi="Helvetica" w:cs="Helvetica"/>
                <w:iCs/>
                <w:szCs w:val="20"/>
                <w:lang w:val="en-US"/>
              </w:rPr>
              <w:t>Cancellation pursuant to a scheme of arrangement or other reconstruction</w:t>
            </w:r>
          </w:p>
          <w:p w14:paraId="4BFC9A94" w14:textId="77777777" w:rsidR="000E1BB4" w:rsidRPr="001B7640" w:rsidRDefault="009872B8" w:rsidP="000E1BB4">
            <w:pPr>
              <w:tabs>
                <w:tab w:val="clear" w:pos="851"/>
              </w:tabs>
              <w:ind w:left="316" w:hanging="360"/>
              <w:rPr>
                <w:rFonts w:ascii="Helvetica" w:hAnsi="Helvetica" w:cs="Helvetica"/>
                <w:szCs w:val="20"/>
                <w:lang w:val="en-US"/>
              </w:rPr>
            </w:pPr>
            <w:sdt>
              <w:sdtPr>
                <w:rPr>
                  <w:rFonts w:ascii="MS Gothic" w:eastAsia="MS Gothic" w:hAnsi="MS Gothic" w:cs="Arial"/>
                </w:rPr>
                <w:id w:val="-2032792271"/>
                <w14:checkbox>
                  <w14:checked w14:val="0"/>
                  <w14:checkedState w14:val="2612" w14:font="MS Gothic"/>
                  <w14:uncheckedState w14:val="2610" w14:font="MS Gothic"/>
                </w14:checkbox>
              </w:sdtPr>
              <w:sdtEndPr/>
              <w:sdtContent>
                <w:r w:rsidR="000E1BB4" w:rsidRPr="00F15A5E">
                  <w:rPr>
                    <w:rFonts w:ascii="MS Gothic" w:eastAsia="MS Gothic" w:hAnsi="MS Gothic" w:cs="Arial"/>
                  </w:rPr>
                  <w:t>☐</w:t>
                </w:r>
              </w:sdtContent>
            </w:sdt>
            <w:r w:rsidR="000E1BB4" w:rsidRPr="00F15A5E">
              <w:rPr>
                <w:rFonts w:ascii="MS Gothic" w:eastAsia="MS Gothic" w:hAnsi="MS Gothic" w:cs="Arial"/>
                <w:iCs/>
              </w:rPr>
              <w:tab/>
            </w:r>
            <w:r w:rsidR="000E1BB4" w:rsidRPr="001B7640">
              <w:rPr>
                <w:rFonts w:ascii="Helvetica" w:hAnsi="Helvetica" w:cs="Helvetica"/>
                <w:iCs/>
                <w:szCs w:val="20"/>
                <w:lang w:val="en-US"/>
              </w:rPr>
              <w:t>Cancellation by agreement between the entity and the holder</w:t>
            </w:r>
          </w:p>
          <w:p w14:paraId="5F266FB4" w14:textId="68A1600A" w:rsidR="000E1BB4" w:rsidRPr="001B7640" w:rsidRDefault="009872B8" w:rsidP="000E1BB4">
            <w:pPr>
              <w:tabs>
                <w:tab w:val="clear" w:pos="851"/>
              </w:tabs>
              <w:ind w:left="316" w:hanging="360"/>
              <w:rPr>
                <w:rFonts w:ascii="Helvetica" w:hAnsi="Helvetica" w:cs="Helvetica"/>
                <w:iCs/>
                <w:szCs w:val="20"/>
                <w:lang w:val="en-US"/>
              </w:rPr>
            </w:pPr>
            <w:sdt>
              <w:sdtPr>
                <w:rPr>
                  <w:rFonts w:ascii="MS Gothic" w:eastAsia="MS Gothic" w:hAnsi="MS Gothic" w:cs="Arial"/>
                </w:rPr>
                <w:id w:val="432632854"/>
                <w14:checkbox>
                  <w14:checked w14:val="0"/>
                  <w14:checkedState w14:val="2612" w14:font="MS Gothic"/>
                  <w14:uncheckedState w14:val="2610" w14:font="MS Gothic"/>
                </w14:checkbox>
              </w:sdtPr>
              <w:sdtEndPr/>
              <w:sdtContent>
                <w:r w:rsidR="008F4C82" w:rsidRPr="00F15A5E">
                  <w:rPr>
                    <w:rFonts w:ascii="MS Gothic" w:eastAsia="MS Gothic" w:hAnsi="MS Gothic" w:cs="Arial"/>
                  </w:rPr>
                  <w:t>☐</w:t>
                </w:r>
              </w:sdtContent>
            </w:sdt>
            <w:r w:rsidR="000E1BB4" w:rsidRPr="00F15A5E">
              <w:rPr>
                <w:rFonts w:ascii="MS Gothic" w:eastAsia="MS Gothic" w:hAnsi="MS Gothic" w:cs="Arial"/>
                <w:iCs/>
              </w:rPr>
              <w:tab/>
            </w:r>
            <w:r w:rsidR="000E1BB4" w:rsidRPr="001B7640">
              <w:rPr>
                <w:rFonts w:ascii="Helvetica" w:hAnsi="Helvetica" w:cs="Helvetica"/>
                <w:iCs/>
                <w:szCs w:val="20"/>
                <w:lang w:val="en-US"/>
              </w:rPr>
              <w:t xml:space="preserve">Repayment or redemption of </w:t>
            </w:r>
            <w:r w:rsidR="000E1BB4" w:rsidRPr="001B7640">
              <w:rPr>
                <w:rFonts w:ascii="Helvetica" w:hAnsi="Helvetica" w:cs="Helvetica"/>
                <w:szCs w:val="20"/>
                <w:lang w:val="en-US"/>
              </w:rPr>
              <w:t>+</w:t>
            </w:r>
            <w:r w:rsidR="000E1BB4" w:rsidRPr="001B7640">
              <w:rPr>
                <w:rFonts w:ascii="Helvetica" w:hAnsi="Helvetica" w:cs="Helvetica"/>
                <w:iCs/>
                <w:szCs w:val="20"/>
                <w:lang w:val="en-US"/>
              </w:rPr>
              <w:t>convertible debt security without conversion</w:t>
            </w:r>
          </w:p>
          <w:p w14:paraId="11DB23B8" w14:textId="3DAFB680" w:rsidR="000E1BB4" w:rsidRPr="001B7640" w:rsidRDefault="009872B8" w:rsidP="000E1BB4">
            <w:pPr>
              <w:tabs>
                <w:tab w:val="clear" w:pos="851"/>
              </w:tabs>
              <w:ind w:left="316" w:hanging="360"/>
              <w:rPr>
                <w:rFonts w:ascii="Helvetica" w:hAnsi="Helvetica" w:cs="Helvetica"/>
                <w:iCs/>
                <w:szCs w:val="20"/>
                <w:lang w:val="en-US"/>
              </w:rPr>
            </w:pPr>
            <w:sdt>
              <w:sdtPr>
                <w:rPr>
                  <w:rFonts w:ascii="MS Gothic" w:eastAsia="MS Gothic" w:hAnsi="MS Gothic" w:cs="Arial"/>
                </w:rPr>
                <w:id w:val="-1284267327"/>
                <w14:checkbox>
                  <w14:checked w14:val="0"/>
                  <w14:checkedState w14:val="2612" w14:font="MS Gothic"/>
                  <w14:uncheckedState w14:val="2610" w14:font="MS Gothic"/>
                </w14:checkbox>
              </w:sdtPr>
              <w:sdtEndPr/>
              <w:sdtContent>
                <w:r w:rsidR="008F4C82" w:rsidRPr="00F15A5E">
                  <w:rPr>
                    <w:rFonts w:ascii="MS Gothic" w:eastAsia="MS Gothic" w:hAnsi="MS Gothic" w:cs="Arial"/>
                  </w:rPr>
                  <w:t>☐</w:t>
                </w:r>
              </w:sdtContent>
            </w:sdt>
            <w:r w:rsidR="000E1BB4" w:rsidRPr="00F15A5E">
              <w:rPr>
                <w:rFonts w:ascii="MS Gothic" w:eastAsia="MS Gothic" w:hAnsi="MS Gothic" w:cs="Arial"/>
                <w:iCs/>
              </w:rPr>
              <w:tab/>
            </w:r>
            <w:r w:rsidR="000E1BB4" w:rsidRPr="001B7640">
              <w:rPr>
                <w:rFonts w:ascii="Helvetica" w:hAnsi="Helvetica" w:cs="Helvetica"/>
                <w:iCs/>
                <w:szCs w:val="20"/>
                <w:lang w:val="en-US"/>
              </w:rPr>
              <w:t>Repayment or redemption of quoted +debt security</w:t>
            </w:r>
          </w:p>
          <w:p w14:paraId="7D6C1BB0" w14:textId="62D61D3A" w:rsidR="000E1BB4" w:rsidRPr="00F15A5E" w:rsidRDefault="009872B8" w:rsidP="00C227CC">
            <w:pPr>
              <w:tabs>
                <w:tab w:val="clear" w:pos="851"/>
              </w:tabs>
              <w:ind w:left="316" w:hanging="360"/>
              <w:rPr>
                <w:rFonts w:cs="Arial"/>
              </w:rPr>
            </w:pPr>
            <w:sdt>
              <w:sdtPr>
                <w:rPr>
                  <w:rFonts w:ascii="MS Gothic" w:eastAsia="MS Gothic" w:hAnsi="MS Gothic" w:cs="Arial"/>
                </w:rPr>
                <w:id w:val="1370261994"/>
                <w14:checkbox>
                  <w14:checked w14:val="0"/>
                  <w14:checkedState w14:val="2612" w14:font="MS Gothic"/>
                  <w14:uncheckedState w14:val="2610" w14:font="MS Gothic"/>
                </w14:checkbox>
              </w:sdtPr>
              <w:sdtEndPr/>
              <w:sdtContent>
                <w:r w:rsidR="000E1BB4" w:rsidRPr="00F15A5E">
                  <w:rPr>
                    <w:rFonts w:ascii="MS Gothic" w:eastAsia="MS Gothic" w:hAnsi="MS Gothic" w:cs="Arial"/>
                  </w:rPr>
                  <w:t>☐</w:t>
                </w:r>
              </w:sdtContent>
            </w:sdt>
            <w:r w:rsidR="00C227CC" w:rsidRPr="00F15A5E">
              <w:rPr>
                <w:rFonts w:cs="Arial"/>
              </w:rPr>
              <w:tab/>
            </w:r>
            <w:r w:rsidR="000E1BB4" w:rsidRPr="00F15A5E">
              <w:rPr>
                <w:rFonts w:cs="Arial"/>
              </w:rPr>
              <w:t>Redemption of redeemable preference securities</w:t>
            </w:r>
          </w:p>
          <w:p w14:paraId="77C86F89" w14:textId="7607D7F3" w:rsidR="008F74E9" w:rsidRPr="001B7640" w:rsidRDefault="009872B8" w:rsidP="00C227CC">
            <w:pPr>
              <w:tabs>
                <w:tab w:val="clear" w:pos="851"/>
              </w:tabs>
              <w:ind w:left="316" w:hanging="360"/>
              <w:rPr>
                <w:rFonts w:ascii="Helvetica" w:hAnsi="Helvetica" w:cs="Helvetica"/>
                <w:szCs w:val="20"/>
                <w:lang w:val="en-US"/>
              </w:rPr>
            </w:pPr>
            <w:sdt>
              <w:sdtPr>
                <w:rPr>
                  <w:rFonts w:ascii="MS Gothic" w:eastAsia="MS Gothic" w:hAnsi="MS Gothic" w:cs="Arial"/>
                </w:rPr>
                <w:id w:val="1025898659"/>
                <w14:checkbox>
                  <w14:checked w14:val="0"/>
                  <w14:checkedState w14:val="2612" w14:font="MS Gothic"/>
                  <w14:uncheckedState w14:val="2610" w14:font="MS Gothic"/>
                </w14:checkbox>
              </w:sdtPr>
              <w:sdtEndPr/>
              <w:sdtContent>
                <w:r w:rsidR="008F4C82" w:rsidRPr="00F15A5E">
                  <w:rPr>
                    <w:rFonts w:ascii="MS Gothic" w:eastAsia="MS Gothic" w:hAnsi="MS Gothic" w:cs="Arial"/>
                  </w:rPr>
                  <w:t>☐</w:t>
                </w:r>
              </w:sdtContent>
            </w:sdt>
            <w:r w:rsidR="000E1BB4" w:rsidRPr="00F15A5E">
              <w:rPr>
                <w:rFonts w:cs="Arial"/>
              </w:rPr>
              <w:tab/>
            </w:r>
            <w:r w:rsidR="008F74E9" w:rsidRPr="001B7640">
              <w:rPr>
                <w:rFonts w:ascii="Helvetica" w:hAnsi="Helvetica" w:cs="Helvetica"/>
                <w:iCs/>
                <w:szCs w:val="20"/>
                <w:lang w:val="en-US"/>
              </w:rPr>
              <w:t>Redemption of units</w:t>
            </w:r>
          </w:p>
          <w:p w14:paraId="7C854FEE" w14:textId="7B424CBB" w:rsidR="00E144F3" w:rsidRPr="00F15A5E" w:rsidRDefault="009872B8" w:rsidP="00C227CC">
            <w:pPr>
              <w:pStyle w:val="Boxtext"/>
              <w:tabs>
                <w:tab w:val="clear" w:pos="851"/>
              </w:tabs>
              <w:ind w:left="316" w:hanging="360"/>
              <w:rPr>
                <w:rFonts w:ascii="Arial" w:hAnsi="Arial" w:cs="Arial"/>
              </w:rPr>
            </w:pPr>
            <w:sdt>
              <w:sdtPr>
                <w:rPr>
                  <w:rFonts w:ascii="Arial" w:hAnsi="Arial" w:cs="Arial"/>
                </w:rPr>
                <w:id w:val="-668325467"/>
                <w14:checkbox>
                  <w14:checked w14:val="0"/>
                  <w14:checkedState w14:val="2612" w14:font="MS Gothic"/>
                  <w14:uncheckedState w14:val="2610" w14:font="MS Gothic"/>
                </w14:checkbox>
              </w:sdtPr>
              <w:sdtEndPr/>
              <w:sdtContent>
                <w:r w:rsidR="008F74E9" w:rsidRPr="00F15A5E">
                  <w:rPr>
                    <w:rFonts w:ascii="MS Gothic" w:eastAsia="MS Gothic" w:hAnsi="MS Gothic" w:cs="Arial"/>
                  </w:rPr>
                  <w:t>☐</w:t>
                </w:r>
              </w:sdtContent>
            </w:sdt>
            <w:r w:rsidR="00C227CC" w:rsidRPr="00F15A5E">
              <w:rPr>
                <w:rFonts w:ascii="Arial" w:hAnsi="Arial" w:cs="Arial"/>
              </w:rPr>
              <w:tab/>
            </w:r>
            <w:r w:rsidR="00E144F3" w:rsidRPr="00F15A5E">
              <w:rPr>
                <w:rFonts w:ascii="Arial" w:hAnsi="Arial" w:cs="Arial"/>
              </w:rPr>
              <w:t>Cancellation of p</w:t>
            </w:r>
            <w:r w:rsidR="00E144F3" w:rsidRPr="00F15A5E">
              <w:rPr>
                <w:rFonts w:ascii="Arial" w:hAnsi="Arial" w:cs="Arial"/>
                <w:shd w:val="clear" w:color="auto" w:fill="FFFFFF"/>
              </w:rPr>
              <w:t>artly paid +securities upon which a call or instalment has not been paid</w:t>
            </w:r>
          </w:p>
          <w:p w14:paraId="63578873" w14:textId="3340FC50" w:rsidR="00D737B9" w:rsidRPr="00F15A5E" w:rsidRDefault="009872B8" w:rsidP="00434A9D">
            <w:pPr>
              <w:pStyle w:val="Boxtext"/>
              <w:tabs>
                <w:tab w:val="clear" w:pos="851"/>
              </w:tabs>
              <w:ind w:left="316" w:hanging="360"/>
              <w:rPr>
                <w:rFonts w:ascii="Arial" w:hAnsi="Arial" w:cs="Arial"/>
              </w:rPr>
            </w:pPr>
            <w:sdt>
              <w:sdtPr>
                <w:rPr>
                  <w:rFonts w:ascii="Arial" w:hAnsi="Arial" w:cs="Arial"/>
                  <w:iCs/>
                </w:rPr>
                <w:id w:val="2015258498"/>
                <w14:checkbox>
                  <w14:checked w14:val="0"/>
                  <w14:checkedState w14:val="2612" w14:font="MS Gothic"/>
                  <w14:uncheckedState w14:val="2610" w14:font="MS Gothic"/>
                </w14:checkbox>
              </w:sdtPr>
              <w:sdtEndPr/>
              <w:sdtContent>
                <w:r w:rsidR="00E144F3" w:rsidRPr="00F15A5E">
                  <w:rPr>
                    <w:rFonts w:ascii="MS Gothic" w:eastAsia="MS Gothic" w:hAnsi="MS Gothic" w:cs="Arial"/>
                  </w:rPr>
                  <w:t>☐</w:t>
                </w:r>
              </w:sdtContent>
            </w:sdt>
            <w:r w:rsidR="00E144F3" w:rsidRPr="00F15A5E">
              <w:rPr>
                <w:rFonts w:ascii="Arial" w:hAnsi="Arial" w:cs="Arial"/>
              </w:rPr>
              <w:tab/>
            </w:r>
            <w:r w:rsidR="008F74E9" w:rsidRPr="001B7640">
              <w:rPr>
                <w:rFonts w:ascii="Helvetica" w:hAnsi="Helvetica" w:cs="Helvetica"/>
                <w:lang w:val="en-US"/>
              </w:rPr>
              <w:t>Other</w:t>
            </w:r>
          </w:p>
          <w:p w14:paraId="219CF3FB" w14:textId="1A88827B" w:rsidR="00434A9D" w:rsidRPr="00F15A5E" w:rsidRDefault="00434A9D" w:rsidP="00434A9D">
            <w:pPr>
              <w:pStyle w:val="Boxtext"/>
              <w:tabs>
                <w:tab w:val="clear" w:pos="851"/>
                <w:tab w:val="left" w:pos="0"/>
              </w:tabs>
              <w:rPr>
                <w:rFonts w:ascii="Arial" w:hAnsi="Arial" w:cs="Arial"/>
                <w:i/>
                <w:shd w:val="clear" w:color="auto" w:fill="FFFFFF"/>
              </w:rPr>
            </w:pPr>
            <w:r w:rsidRPr="00F15A5E">
              <w:rPr>
                <w:rFonts w:ascii="Arial" w:hAnsi="Arial" w:cs="Arial"/>
                <w:i/>
                <w:sz w:val="16"/>
                <w:szCs w:val="16"/>
              </w:rPr>
              <w:t>If you have selected ‘other’ please provide additional details regarding the reason for cessation here</w:t>
            </w:r>
            <w:r w:rsidRPr="00F15A5E">
              <w:rPr>
                <w:rFonts w:ascii="Arial" w:hAnsi="Arial" w:cs="Arial"/>
                <w:i/>
                <w:shd w:val="clear" w:color="auto" w:fill="FFFFFF"/>
              </w:rPr>
              <w:t xml:space="preserve">: </w:t>
            </w:r>
          </w:p>
          <w:p w14:paraId="3AE62D03" w14:textId="70C8D31A" w:rsidR="00434A9D" w:rsidRPr="001B7640" w:rsidRDefault="00434A9D" w:rsidP="00434A9D">
            <w:pPr>
              <w:pStyle w:val="Boxtext"/>
              <w:tabs>
                <w:tab w:val="clear" w:pos="851"/>
              </w:tabs>
              <w:ind w:left="316" w:hanging="360"/>
              <w:rPr>
                <w:rFonts w:ascii="Arial" w:hAnsi="Arial" w:cs="Arial"/>
              </w:rPr>
            </w:pPr>
          </w:p>
        </w:tc>
      </w:tr>
      <w:tr w:rsidR="002B0295" w:rsidRPr="00600CAC" w14:paraId="33C7B7DF" w14:textId="77777777" w:rsidTr="00E073A2">
        <w:tc>
          <w:tcPr>
            <w:tcW w:w="1134" w:type="dxa"/>
            <w:shd w:val="clear" w:color="auto" w:fill="auto"/>
          </w:tcPr>
          <w:p w14:paraId="26B00A9F" w14:textId="61436D71" w:rsidR="00D737B9" w:rsidRPr="00261495" w:rsidRDefault="002B0295" w:rsidP="00D51CA6">
            <w:pPr>
              <w:pStyle w:val="Boxtext"/>
              <w:rPr>
                <w:rFonts w:ascii="Arial" w:hAnsi="Arial" w:cs="Arial"/>
                <w:color w:val="000000" w:themeColor="text1"/>
              </w:rPr>
            </w:pPr>
            <w:r w:rsidRPr="00261495">
              <w:rPr>
                <w:rFonts w:ascii="Arial" w:hAnsi="Arial" w:cs="Arial"/>
                <w:color w:val="000000" w:themeColor="text1"/>
              </w:rPr>
              <w:lastRenderedPageBreak/>
              <w:t>2</w:t>
            </w:r>
            <w:r w:rsidR="008F4C82" w:rsidRPr="00261495">
              <w:rPr>
                <w:rFonts w:ascii="Arial" w:hAnsi="Arial" w:cs="Arial"/>
                <w:color w:val="000000" w:themeColor="text1"/>
              </w:rPr>
              <w:t>.4</w:t>
            </w:r>
          </w:p>
        </w:tc>
        <w:tc>
          <w:tcPr>
            <w:tcW w:w="3969" w:type="dxa"/>
            <w:shd w:val="clear" w:color="auto" w:fill="auto"/>
          </w:tcPr>
          <w:p w14:paraId="4A943BAB" w14:textId="053DEDBE" w:rsidR="00D737B9" w:rsidRPr="00261495" w:rsidRDefault="001D4666" w:rsidP="00EF0676">
            <w:pPr>
              <w:tabs>
                <w:tab w:val="clear" w:pos="851"/>
              </w:tabs>
              <w:spacing w:before="60" w:after="60"/>
              <w:rPr>
                <w:rFonts w:ascii="Helvetica" w:hAnsi="Helvetica" w:cs="Helvetica"/>
                <w:color w:val="000000" w:themeColor="text1"/>
                <w:szCs w:val="20"/>
                <w:lang w:val="en-US"/>
              </w:rPr>
            </w:pPr>
            <w:r w:rsidRPr="00261495">
              <w:rPr>
                <w:rFonts w:ascii="Helvetica" w:hAnsi="Helvetica" w:cs="Helvetica"/>
                <w:color w:val="000000" w:themeColor="text1"/>
                <w:szCs w:val="20"/>
                <w:lang w:val="en-US"/>
              </w:rPr>
              <w:t xml:space="preserve">*Date </w:t>
            </w:r>
            <w:r w:rsidR="00EF0676" w:rsidRPr="00261495">
              <w:rPr>
                <w:rFonts w:ascii="Helvetica" w:hAnsi="Helvetica" w:cs="Helvetica"/>
                <w:color w:val="000000" w:themeColor="text1"/>
                <w:szCs w:val="20"/>
                <w:lang w:val="en-US"/>
              </w:rPr>
              <w:t>of cessation</w:t>
            </w:r>
          </w:p>
        </w:tc>
        <w:tc>
          <w:tcPr>
            <w:tcW w:w="3969" w:type="dxa"/>
            <w:shd w:val="clear" w:color="auto" w:fill="auto"/>
          </w:tcPr>
          <w:p w14:paraId="33C1FB05" w14:textId="1E0032C7" w:rsidR="00D737B9" w:rsidRPr="00261495" w:rsidRDefault="00D737B9">
            <w:pPr>
              <w:pStyle w:val="Boxtext"/>
              <w:rPr>
                <w:rFonts w:ascii="Arial" w:hAnsi="Arial" w:cs="Arial"/>
                <w:color w:val="000000" w:themeColor="text1"/>
              </w:rPr>
            </w:pPr>
          </w:p>
        </w:tc>
      </w:tr>
      <w:tr w:rsidR="002B0295" w:rsidRPr="00600CAC" w14:paraId="2032E81E" w14:textId="77777777" w:rsidTr="001E5517">
        <w:tc>
          <w:tcPr>
            <w:tcW w:w="1134" w:type="dxa"/>
            <w:shd w:val="clear" w:color="auto" w:fill="auto"/>
          </w:tcPr>
          <w:p w14:paraId="5696AAB1" w14:textId="50AB7EDE" w:rsidR="00434A9D" w:rsidRPr="00261495" w:rsidRDefault="002B0295" w:rsidP="004F6BF4">
            <w:pPr>
              <w:pStyle w:val="Boxtext"/>
              <w:rPr>
                <w:rFonts w:ascii="Arial" w:hAnsi="Arial" w:cs="Arial"/>
                <w:color w:val="000000" w:themeColor="text1"/>
              </w:rPr>
            </w:pPr>
            <w:r w:rsidRPr="00261495">
              <w:rPr>
                <w:rFonts w:ascii="Arial" w:hAnsi="Arial" w:cs="Arial"/>
                <w:color w:val="000000" w:themeColor="text1"/>
              </w:rPr>
              <w:t>2</w:t>
            </w:r>
            <w:r w:rsidR="008F4C82" w:rsidRPr="00261495">
              <w:rPr>
                <w:rFonts w:ascii="Arial" w:hAnsi="Arial" w:cs="Arial"/>
                <w:color w:val="000000" w:themeColor="text1"/>
              </w:rPr>
              <w:t>.5</w:t>
            </w:r>
          </w:p>
        </w:tc>
        <w:tc>
          <w:tcPr>
            <w:tcW w:w="3969" w:type="dxa"/>
            <w:shd w:val="clear" w:color="auto" w:fill="auto"/>
          </w:tcPr>
          <w:p w14:paraId="6296957E" w14:textId="5F1C5CFB" w:rsidR="00434A9D" w:rsidRPr="00261495" w:rsidRDefault="00434A9D" w:rsidP="004F6BF4">
            <w:pPr>
              <w:tabs>
                <w:tab w:val="clear" w:pos="851"/>
              </w:tabs>
              <w:spacing w:before="60" w:after="60"/>
              <w:rPr>
                <w:rFonts w:ascii="Helvetica" w:hAnsi="Helvetica" w:cs="Helvetica"/>
                <w:color w:val="000000" w:themeColor="text1"/>
                <w:szCs w:val="20"/>
                <w:lang w:val="en-US"/>
              </w:rPr>
            </w:pPr>
            <w:r w:rsidRPr="00261495">
              <w:rPr>
                <w:rFonts w:ascii="Helvetica" w:hAnsi="Helvetica" w:cs="Helvetica"/>
                <w:color w:val="000000" w:themeColor="text1"/>
                <w:szCs w:val="20"/>
                <w:lang w:val="en-US"/>
              </w:rPr>
              <w:t xml:space="preserve">*Is </w:t>
            </w:r>
            <w:r w:rsidR="0015553E" w:rsidRPr="00261495">
              <w:rPr>
                <w:rFonts w:ascii="Helvetica" w:hAnsi="Helvetica" w:cs="Helvetica"/>
                <w:color w:val="000000" w:themeColor="text1"/>
                <w:szCs w:val="20"/>
                <w:lang w:val="en-US"/>
              </w:rPr>
              <w:t xml:space="preserve">the entity paying </w:t>
            </w:r>
            <w:r w:rsidRPr="00261495">
              <w:rPr>
                <w:rFonts w:ascii="Helvetica" w:hAnsi="Helvetica" w:cs="Helvetica"/>
                <w:color w:val="000000" w:themeColor="text1"/>
                <w:szCs w:val="20"/>
                <w:lang w:val="en-US"/>
              </w:rPr>
              <w:t>any consideration for the cessation?</w:t>
            </w:r>
          </w:p>
          <w:p w14:paraId="0E439B19" w14:textId="4AE46A1F" w:rsidR="00F42C62" w:rsidRPr="00261495" w:rsidRDefault="00F42C62" w:rsidP="001E5517">
            <w:pPr>
              <w:tabs>
                <w:tab w:val="clear" w:pos="851"/>
              </w:tabs>
              <w:spacing w:before="60" w:after="60"/>
              <w:rPr>
                <w:rFonts w:ascii="Helvetica" w:hAnsi="Helvetica" w:cs="Helvetica"/>
                <w:i/>
                <w:color w:val="000000" w:themeColor="text1"/>
                <w:sz w:val="16"/>
                <w:szCs w:val="16"/>
                <w:lang w:val="en-US"/>
              </w:rPr>
            </w:pPr>
            <w:r w:rsidRPr="00261495">
              <w:rPr>
                <w:rFonts w:ascii="Helvetica" w:hAnsi="Helvetica" w:cs="Helvetica"/>
                <w:i/>
                <w:color w:val="000000" w:themeColor="text1"/>
                <w:sz w:val="16"/>
                <w:szCs w:val="16"/>
                <w:lang w:val="en-US"/>
              </w:rPr>
              <w:t xml:space="preserve">Example: the payment of an amount to the holder of </w:t>
            </w:r>
            <w:r w:rsidR="000E1BB4" w:rsidRPr="00261495">
              <w:rPr>
                <w:rFonts w:ascii="Helvetica" w:hAnsi="Helvetica" w:cs="Helvetica"/>
                <w:i/>
                <w:color w:val="000000" w:themeColor="text1"/>
                <w:sz w:val="16"/>
                <w:szCs w:val="16"/>
                <w:lang w:val="en-US"/>
              </w:rPr>
              <w:t>an option or right as consideration for the holder to agree to a cancellation of the option or right</w:t>
            </w:r>
            <w:r w:rsidRPr="00261495">
              <w:rPr>
                <w:rFonts w:ascii="Helvetica" w:hAnsi="Helvetica" w:cs="Helvetica"/>
                <w:i/>
                <w:color w:val="000000" w:themeColor="text1"/>
                <w:sz w:val="16"/>
                <w:szCs w:val="16"/>
                <w:lang w:val="en-US"/>
              </w:rPr>
              <w:t>.</w:t>
            </w:r>
          </w:p>
          <w:p w14:paraId="6D1F2F2D" w14:textId="11A2344E" w:rsidR="002A75FB" w:rsidRPr="00261495" w:rsidRDefault="00CB3B58" w:rsidP="00F42C62">
            <w:pPr>
              <w:tabs>
                <w:tab w:val="clear" w:pos="851"/>
              </w:tabs>
              <w:spacing w:before="60" w:after="60"/>
              <w:rPr>
                <w:rFonts w:ascii="Helvetica" w:hAnsi="Helvetica" w:cs="Helvetica"/>
                <w:color w:val="000000" w:themeColor="text1"/>
                <w:szCs w:val="20"/>
                <w:lang w:val="en-US"/>
              </w:rPr>
            </w:pPr>
            <w:r w:rsidRPr="00261495">
              <w:rPr>
                <w:rFonts w:ascii="Helvetica" w:hAnsi="Helvetica" w:cs="Helvetica"/>
                <w:i/>
                <w:color w:val="000000" w:themeColor="text1"/>
                <w:sz w:val="16"/>
                <w:szCs w:val="16"/>
                <w:lang w:val="en-US"/>
              </w:rPr>
              <w:t>T</w:t>
            </w:r>
            <w:r w:rsidR="002A75FB" w:rsidRPr="00261495">
              <w:rPr>
                <w:rFonts w:ascii="Helvetica" w:hAnsi="Helvetica" w:cs="Helvetica"/>
                <w:i/>
                <w:color w:val="000000" w:themeColor="text1"/>
                <w:sz w:val="16"/>
                <w:szCs w:val="16"/>
                <w:lang w:val="en-US"/>
              </w:rPr>
              <w:t xml:space="preserve">he </w:t>
            </w:r>
            <w:r w:rsidR="0015553E" w:rsidRPr="00261495">
              <w:rPr>
                <w:rFonts w:ascii="Helvetica" w:hAnsi="Helvetica" w:cs="Helvetica"/>
                <w:i/>
                <w:color w:val="000000" w:themeColor="text1"/>
                <w:sz w:val="16"/>
                <w:szCs w:val="16"/>
                <w:lang w:val="en-US"/>
              </w:rPr>
              <w:t>re</w:t>
            </w:r>
            <w:r w:rsidR="002A75FB" w:rsidRPr="00261495">
              <w:rPr>
                <w:rFonts w:ascii="Helvetica" w:hAnsi="Helvetica" w:cs="Helvetica"/>
                <w:i/>
                <w:color w:val="000000" w:themeColor="text1"/>
                <w:sz w:val="16"/>
                <w:szCs w:val="16"/>
                <w:lang w:val="en-US"/>
              </w:rPr>
              <w:t xml:space="preserve">payment of </w:t>
            </w:r>
            <w:r w:rsidR="0015553E" w:rsidRPr="00261495">
              <w:rPr>
                <w:rFonts w:ascii="Helvetica" w:hAnsi="Helvetica" w:cs="Helvetica"/>
                <w:i/>
                <w:color w:val="000000" w:themeColor="text1"/>
                <w:sz w:val="16"/>
                <w:szCs w:val="16"/>
                <w:lang w:val="en-US"/>
              </w:rPr>
              <w:t xml:space="preserve">the principal amount of </w:t>
            </w:r>
            <w:r w:rsidR="002A75FB" w:rsidRPr="00261495">
              <w:rPr>
                <w:rFonts w:ascii="Helvetica" w:hAnsi="Helvetica" w:cs="Helvetica"/>
                <w:i/>
                <w:color w:val="000000" w:themeColor="text1"/>
                <w:sz w:val="16"/>
                <w:szCs w:val="16"/>
                <w:lang w:val="en-US"/>
              </w:rPr>
              <w:t xml:space="preserve">a convertible </w:t>
            </w:r>
            <w:r w:rsidR="0015553E" w:rsidRPr="00261495">
              <w:rPr>
                <w:rFonts w:ascii="Helvetica" w:hAnsi="Helvetica" w:cs="Helvetica"/>
                <w:i/>
                <w:color w:val="000000" w:themeColor="text1"/>
                <w:sz w:val="16"/>
                <w:szCs w:val="16"/>
                <w:lang w:val="en-US"/>
              </w:rPr>
              <w:t xml:space="preserve">debt </w:t>
            </w:r>
            <w:r w:rsidR="002A75FB" w:rsidRPr="00261495">
              <w:rPr>
                <w:rFonts w:ascii="Helvetica" w:hAnsi="Helvetica" w:cs="Helvetica"/>
                <w:i/>
                <w:color w:val="000000" w:themeColor="text1"/>
                <w:sz w:val="16"/>
                <w:szCs w:val="16"/>
                <w:lang w:val="en-US"/>
              </w:rPr>
              <w:t xml:space="preserve">security or </w:t>
            </w:r>
            <w:r w:rsidR="000E1BB4" w:rsidRPr="00261495">
              <w:rPr>
                <w:rFonts w:ascii="Helvetica" w:hAnsi="Helvetica" w:cs="Helvetica"/>
                <w:i/>
                <w:color w:val="000000" w:themeColor="text1"/>
                <w:sz w:val="16"/>
                <w:szCs w:val="16"/>
                <w:lang w:val="en-US"/>
              </w:rPr>
              <w:t xml:space="preserve">quoted </w:t>
            </w:r>
            <w:r w:rsidR="002A75FB" w:rsidRPr="00261495">
              <w:rPr>
                <w:rFonts w:ascii="Helvetica" w:hAnsi="Helvetica" w:cs="Helvetica"/>
                <w:i/>
                <w:color w:val="000000" w:themeColor="text1"/>
                <w:sz w:val="16"/>
                <w:szCs w:val="16"/>
                <w:lang w:val="en-US"/>
              </w:rPr>
              <w:t>debt security in accordance with its terms is not regarded as consideration paid for the cessation of that security.</w:t>
            </w:r>
          </w:p>
        </w:tc>
        <w:tc>
          <w:tcPr>
            <w:tcW w:w="3969" w:type="dxa"/>
            <w:shd w:val="clear" w:color="auto" w:fill="auto"/>
          </w:tcPr>
          <w:p w14:paraId="6061BA3F" w14:textId="1E3262F3" w:rsidR="00434A9D" w:rsidRPr="00261495" w:rsidRDefault="00434A9D" w:rsidP="006F1D69">
            <w:pPr>
              <w:pStyle w:val="Boxtext"/>
              <w:rPr>
                <w:rFonts w:ascii="Arial" w:hAnsi="Arial" w:cs="Arial"/>
                <w:color w:val="000000" w:themeColor="text1"/>
              </w:rPr>
            </w:pPr>
            <w:r w:rsidRPr="00261495">
              <w:rPr>
                <w:rFonts w:ascii="Arial" w:hAnsi="Arial" w:cs="Arial"/>
                <w:color w:val="000000" w:themeColor="text1"/>
              </w:rPr>
              <w:t xml:space="preserve">Yes </w:t>
            </w:r>
            <w:r w:rsidR="00E75CC0" w:rsidRPr="00261495">
              <w:rPr>
                <w:rFonts w:ascii="Arial" w:hAnsi="Arial" w:cs="Arial"/>
                <w:color w:val="000000" w:themeColor="text1"/>
              </w:rPr>
              <w:t xml:space="preserve">/ </w:t>
            </w:r>
            <w:r w:rsidRPr="00261495">
              <w:rPr>
                <w:rFonts w:ascii="Arial" w:hAnsi="Arial" w:cs="Arial"/>
                <w:color w:val="000000" w:themeColor="text1"/>
              </w:rPr>
              <w:t>No</w:t>
            </w:r>
            <w:r w:rsidR="00AB4A40" w:rsidRPr="00261495">
              <w:rPr>
                <w:rFonts w:ascii="Arial" w:hAnsi="Arial" w:cs="Arial"/>
                <w:color w:val="000000" w:themeColor="text1"/>
              </w:rPr>
              <w:t xml:space="preserve"> </w:t>
            </w:r>
          </w:p>
        </w:tc>
      </w:tr>
      <w:tr w:rsidR="002B0295" w:rsidRPr="00600CAC" w14:paraId="5FEA85B8" w14:textId="77777777" w:rsidTr="00E073A2">
        <w:tc>
          <w:tcPr>
            <w:tcW w:w="1134" w:type="dxa"/>
            <w:shd w:val="clear" w:color="auto" w:fill="auto"/>
          </w:tcPr>
          <w:p w14:paraId="70B3201D" w14:textId="604C82B6" w:rsidR="00434A9D" w:rsidRPr="00261495" w:rsidRDefault="002B0295" w:rsidP="004F6BF4">
            <w:pPr>
              <w:pStyle w:val="Boxtext"/>
              <w:rPr>
                <w:rFonts w:ascii="Arial" w:hAnsi="Arial" w:cs="Arial"/>
                <w:color w:val="000000" w:themeColor="text1"/>
              </w:rPr>
            </w:pPr>
            <w:r w:rsidRPr="00261495">
              <w:rPr>
                <w:rFonts w:ascii="Arial" w:hAnsi="Arial" w:cs="Arial"/>
                <w:color w:val="000000" w:themeColor="text1"/>
              </w:rPr>
              <w:t>2</w:t>
            </w:r>
            <w:r w:rsidR="008F4C82" w:rsidRPr="00261495">
              <w:rPr>
                <w:rFonts w:ascii="Arial" w:hAnsi="Arial" w:cs="Arial"/>
                <w:color w:val="000000" w:themeColor="text1"/>
              </w:rPr>
              <w:t>.6</w:t>
            </w:r>
          </w:p>
        </w:tc>
        <w:tc>
          <w:tcPr>
            <w:tcW w:w="3969" w:type="dxa"/>
            <w:shd w:val="clear" w:color="auto" w:fill="auto"/>
          </w:tcPr>
          <w:p w14:paraId="3F818CB0" w14:textId="77777777" w:rsidR="00434A9D" w:rsidRPr="00261495" w:rsidRDefault="00434A9D" w:rsidP="004F6BF4">
            <w:pPr>
              <w:tabs>
                <w:tab w:val="clear" w:pos="851"/>
              </w:tabs>
              <w:spacing w:before="60" w:after="60"/>
              <w:rPr>
                <w:rFonts w:ascii="Helvetica" w:hAnsi="Helvetica" w:cs="Helvetica"/>
                <w:color w:val="000000" w:themeColor="text1"/>
                <w:szCs w:val="20"/>
                <w:lang w:val="en-US"/>
              </w:rPr>
            </w:pPr>
            <w:r w:rsidRPr="00261495">
              <w:rPr>
                <w:rFonts w:ascii="Helvetica" w:hAnsi="Helvetica" w:cs="Helvetica"/>
                <w:color w:val="000000" w:themeColor="text1"/>
                <w:szCs w:val="20"/>
                <w:lang w:val="en-US"/>
              </w:rPr>
              <w:t>*In what currency is the consideration being paid?</w:t>
            </w:r>
          </w:p>
          <w:p w14:paraId="22E3DD9E" w14:textId="2FB5C9A7" w:rsidR="00434A9D" w:rsidRPr="00261495" w:rsidRDefault="00434A9D" w:rsidP="00C6531B">
            <w:pPr>
              <w:tabs>
                <w:tab w:val="clear" w:pos="851"/>
              </w:tabs>
              <w:spacing w:before="60" w:after="60"/>
              <w:rPr>
                <w:rFonts w:ascii="Helvetica" w:hAnsi="Helvetica" w:cs="Helvetica"/>
                <w:color w:val="000000" w:themeColor="text1"/>
                <w:szCs w:val="20"/>
                <w:lang w:val="en-US"/>
              </w:rPr>
            </w:pPr>
            <w:r w:rsidRPr="00261495">
              <w:rPr>
                <w:rFonts w:ascii="Helvetica" w:hAnsi="Helvetica" w:cs="Helvetica"/>
                <w:i/>
                <w:color w:val="000000" w:themeColor="text1"/>
                <w:sz w:val="16"/>
                <w:szCs w:val="16"/>
                <w:lang w:val="en-US"/>
              </w:rPr>
              <w:t xml:space="preserve">Answer this question if your response to </w:t>
            </w:r>
            <w:r w:rsidR="00D40FF8" w:rsidRPr="00261495">
              <w:rPr>
                <w:rFonts w:ascii="Helvetica" w:hAnsi="Helvetica" w:cs="Helvetica"/>
                <w:i/>
                <w:color w:val="000000" w:themeColor="text1"/>
                <w:sz w:val="16"/>
                <w:szCs w:val="16"/>
                <w:lang w:val="en-US"/>
              </w:rPr>
              <w:t>Q</w:t>
            </w:r>
            <w:r w:rsidR="008F4C82" w:rsidRPr="00261495">
              <w:rPr>
                <w:rFonts w:ascii="Helvetica" w:hAnsi="Helvetica" w:cs="Helvetica"/>
                <w:i/>
                <w:color w:val="000000" w:themeColor="text1"/>
                <w:sz w:val="16"/>
                <w:szCs w:val="16"/>
                <w:lang w:val="en-US"/>
              </w:rPr>
              <w:t> </w:t>
            </w:r>
            <w:r w:rsidR="00C6531B" w:rsidRPr="00261495">
              <w:rPr>
                <w:rFonts w:ascii="Helvetica" w:hAnsi="Helvetica" w:cs="Helvetica"/>
                <w:i/>
                <w:color w:val="000000" w:themeColor="text1"/>
                <w:sz w:val="16"/>
                <w:szCs w:val="16"/>
                <w:lang w:val="en-US"/>
              </w:rPr>
              <w:t>2</w:t>
            </w:r>
            <w:r w:rsidR="008F4C82" w:rsidRPr="00261495">
              <w:rPr>
                <w:rFonts w:ascii="Helvetica" w:hAnsi="Helvetica" w:cs="Helvetica"/>
                <w:i/>
                <w:color w:val="000000" w:themeColor="text1"/>
                <w:sz w:val="16"/>
                <w:szCs w:val="16"/>
                <w:lang w:val="en-US"/>
              </w:rPr>
              <w:t>.5</w:t>
            </w:r>
            <w:r w:rsidRPr="00261495">
              <w:rPr>
                <w:rFonts w:ascii="Helvetica" w:hAnsi="Helvetica" w:cs="Helvetica"/>
                <w:i/>
                <w:color w:val="000000" w:themeColor="text1"/>
                <w:sz w:val="16"/>
                <w:szCs w:val="16"/>
                <w:lang w:val="en-US"/>
              </w:rPr>
              <w:t xml:space="preserve"> is </w:t>
            </w:r>
            <w:r w:rsidR="002A75FB" w:rsidRPr="00261495">
              <w:rPr>
                <w:rFonts w:ascii="Helvetica" w:hAnsi="Helvetica" w:cs="Helvetica"/>
                <w:i/>
                <w:color w:val="000000" w:themeColor="text1"/>
                <w:sz w:val="16"/>
                <w:szCs w:val="16"/>
                <w:lang w:val="en-US"/>
              </w:rPr>
              <w:t>“</w:t>
            </w:r>
            <w:r w:rsidRPr="00261495">
              <w:rPr>
                <w:rFonts w:ascii="Helvetica" w:hAnsi="Helvetica" w:cs="Helvetica"/>
                <w:i/>
                <w:color w:val="000000" w:themeColor="text1"/>
                <w:sz w:val="16"/>
                <w:szCs w:val="16"/>
                <w:lang w:val="en-US"/>
              </w:rPr>
              <w:t>Yes</w:t>
            </w:r>
            <w:r w:rsidR="002A75FB" w:rsidRPr="00261495">
              <w:rPr>
                <w:rFonts w:ascii="Helvetica" w:hAnsi="Helvetica" w:cs="Helvetica"/>
                <w:i/>
                <w:color w:val="000000" w:themeColor="text1"/>
                <w:sz w:val="16"/>
                <w:szCs w:val="16"/>
                <w:lang w:val="en-US"/>
              </w:rPr>
              <w:t>”</w:t>
            </w:r>
          </w:p>
        </w:tc>
        <w:tc>
          <w:tcPr>
            <w:tcW w:w="3969" w:type="dxa"/>
            <w:shd w:val="clear" w:color="auto" w:fill="auto"/>
          </w:tcPr>
          <w:p w14:paraId="1AB9AB3A" w14:textId="326FF5D4" w:rsidR="00434A9D" w:rsidRPr="00261495" w:rsidRDefault="00434A9D" w:rsidP="004F6BF4">
            <w:pPr>
              <w:pStyle w:val="Boxtext"/>
              <w:rPr>
                <w:rFonts w:ascii="Arial" w:hAnsi="Arial" w:cs="Arial"/>
                <w:color w:val="000000" w:themeColor="text1"/>
              </w:rPr>
            </w:pPr>
          </w:p>
        </w:tc>
      </w:tr>
      <w:tr w:rsidR="002B0295" w:rsidRPr="00600CAC" w14:paraId="060D3E4B" w14:textId="77777777" w:rsidTr="00C6531B">
        <w:tc>
          <w:tcPr>
            <w:tcW w:w="1134" w:type="dxa"/>
            <w:shd w:val="clear" w:color="auto" w:fill="auto"/>
          </w:tcPr>
          <w:p w14:paraId="332FEA39" w14:textId="243E99A3" w:rsidR="009E7EBA" w:rsidRPr="00261495" w:rsidRDefault="002B0295" w:rsidP="004F6BF4">
            <w:pPr>
              <w:pStyle w:val="Boxtext"/>
              <w:rPr>
                <w:rFonts w:ascii="Arial" w:hAnsi="Arial" w:cs="Arial"/>
                <w:color w:val="000000" w:themeColor="text1"/>
              </w:rPr>
            </w:pPr>
            <w:r w:rsidRPr="00261495">
              <w:rPr>
                <w:rFonts w:ascii="Arial" w:hAnsi="Arial" w:cs="Arial"/>
                <w:color w:val="000000" w:themeColor="text1"/>
              </w:rPr>
              <w:t>2</w:t>
            </w:r>
            <w:r w:rsidR="008F4C82" w:rsidRPr="00261495">
              <w:rPr>
                <w:rFonts w:ascii="Arial" w:hAnsi="Arial" w:cs="Arial"/>
                <w:color w:val="000000" w:themeColor="text1"/>
              </w:rPr>
              <w:t>.6a</w:t>
            </w:r>
          </w:p>
        </w:tc>
        <w:tc>
          <w:tcPr>
            <w:tcW w:w="3969" w:type="dxa"/>
            <w:shd w:val="clear" w:color="auto" w:fill="auto"/>
          </w:tcPr>
          <w:p w14:paraId="183CD7C3" w14:textId="1C759F8F" w:rsidR="009E7EBA" w:rsidRPr="00261495" w:rsidRDefault="00DC0B8D" w:rsidP="004F6BF4">
            <w:pPr>
              <w:tabs>
                <w:tab w:val="clear" w:pos="851"/>
              </w:tabs>
              <w:spacing w:before="60" w:after="60"/>
              <w:rPr>
                <w:rFonts w:ascii="Helvetica" w:hAnsi="Helvetica" w:cs="Helvetica"/>
                <w:color w:val="000000" w:themeColor="text1"/>
                <w:szCs w:val="20"/>
                <w:lang w:val="en-US"/>
              </w:rPr>
            </w:pPr>
            <w:r w:rsidRPr="00261495">
              <w:rPr>
                <w:rFonts w:ascii="Helvetica" w:hAnsi="Helvetica" w:cs="Helvetica"/>
                <w:color w:val="000000" w:themeColor="text1"/>
                <w:szCs w:val="20"/>
                <w:lang w:val="en-US"/>
              </w:rPr>
              <w:t>*</w:t>
            </w:r>
            <w:r w:rsidR="009E7EBA" w:rsidRPr="00261495">
              <w:rPr>
                <w:rFonts w:ascii="Helvetica" w:hAnsi="Helvetica" w:cs="Helvetica"/>
                <w:color w:val="000000" w:themeColor="text1"/>
                <w:szCs w:val="20"/>
                <w:lang w:val="en-US"/>
              </w:rPr>
              <w:t xml:space="preserve">Consideration </w:t>
            </w:r>
            <w:r w:rsidR="002A75FB" w:rsidRPr="00261495">
              <w:rPr>
                <w:rFonts w:ascii="Helvetica" w:hAnsi="Helvetica" w:cs="Helvetica"/>
                <w:color w:val="000000" w:themeColor="text1"/>
                <w:szCs w:val="20"/>
                <w:lang w:val="en-US"/>
              </w:rPr>
              <w:t xml:space="preserve">amount </w:t>
            </w:r>
            <w:r w:rsidR="009E7EBA" w:rsidRPr="00261495">
              <w:rPr>
                <w:rFonts w:ascii="Helvetica" w:hAnsi="Helvetica" w:cs="Helvetica"/>
                <w:color w:val="000000" w:themeColor="text1"/>
                <w:szCs w:val="20"/>
                <w:lang w:val="en-US"/>
              </w:rPr>
              <w:t>per +security paid by the entity for the cessation</w:t>
            </w:r>
          </w:p>
          <w:p w14:paraId="63ED4629" w14:textId="1C058218" w:rsidR="002A75FB" w:rsidRPr="00261495" w:rsidRDefault="002A75FB" w:rsidP="00703C94">
            <w:pPr>
              <w:tabs>
                <w:tab w:val="clear" w:pos="851"/>
              </w:tabs>
              <w:spacing w:before="60" w:after="60"/>
              <w:rPr>
                <w:rFonts w:ascii="Helvetica" w:hAnsi="Helvetica" w:cs="Helvetica"/>
                <w:i/>
                <w:color w:val="000000" w:themeColor="text1"/>
                <w:sz w:val="16"/>
                <w:szCs w:val="16"/>
                <w:lang w:val="en-US"/>
              </w:rPr>
            </w:pPr>
            <w:r w:rsidRPr="00261495">
              <w:rPr>
                <w:rFonts w:ascii="Helvetica" w:hAnsi="Helvetica" w:cs="Helvetica"/>
                <w:i/>
                <w:color w:val="000000" w:themeColor="text1"/>
                <w:sz w:val="16"/>
                <w:szCs w:val="16"/>
                <w:lang w:val="en-US"/>
              </w:rPr>
              <w:t xml:space="preserve">Answer this question if your response to </w:t>
            </w:r>
            <w:r w:rsidR="00D40FF8" w:rsidRPr="00261495">
              <w:rPr>
                <w:rFonts w:ascii="Helvetica" w:hAnsi="Helvetica" w:cs="Helvetica"/>
                <w:i/>
                <w:color w:val="000000" w:themeColor="text1"/>
                <w:sz w:val="16"/>
                <w:szCs w:val="16"/>
                <w:lang w:val="en-US"/>
              </w:rPr>
              <w:t>Q</w:t>
            </w:r>
            <w:r w:rsidR="00C6531B" w:rsidRPr="00261495">
              <w:rPr>
                <w:rFonts w:ascii="Helvetica" w:hAnsi="Helvetica" w:cs="Helvetica"/>
                <w:i/>
                <w:color w:val="000000" w:themeColor="text1"/>
                <w:sz w:val="16"/>
                <w:szCs w:val="16"/>
                <w:lang w:val="en-US"/>
              </w:rPr>
              <w:t> 2</w:t>
            </w:r>
            <w:r w:rsidR="008F4C82" w:rsidRPr="00261495">
              <w:rPr>
                <w:rFonts w:ascii="Helvetica" w:hAnsi="Helvetica" w:cs="Helvetica"/>
                <w:i/>
                <w:color w:val="000000" w:themeColor="text1"/>
                <w:sz w:val="16"/>
                <w:szCs w:val="16"/>
                <w:lang w:val="en-US"/>
              </w:rPr>
              <w:t>.5</w:t>
            </w:r>
            <w:r w:rsidRPr="00261495">
              <w:rPr>
                <w:rFonts w:ascii="Helvetica" w:hAnsi="Helvetica" w:cs="Helvetica"/>
                <w:i/>
                <w:color w:val="000000" w:themeColor="text1"/>
                <w:sz w:val="16"/>
                <w:szCs w:val="16"/>
                <w:lang w:val="en-US"/>
              </w:rPr>
              <w:t xml:space="preserve"> is “Yes”</w:t>
            </w:r>
          </w:p>
          <w:p w14:paraId="53A4A463" w14:textId="1F24CEBF" w:rsidR="004F6BF4" w:rsidRPr="00261495" w:rsidRDefault="002A75FB" w:rsidP="00E228BF">
            <w:pPr>
              <w:tabs>
                <w:tab w:val="clear" w:pos="851"/>
              </w:tabs>
              <w:spacing w:before="60" w:after="60"/>
              <w:rPr>
                <w:rFonts w:cs="Arial"/>
                <w:i/>
                <w:color w:val="000000" w:themeColor="text1"/>
                <w:sz w:val="16"/>
                <w:szCs w:val="16"/>
                <w:shd w:val="clear" w:color="auto" w:fill="FFFFFF"/>
              </w:rPr>
            </w:pPr>
            <w:r w:rsidRPr="00261495">
              <w:rPr>
                <w:rFonts w:cs="Arial"/>
                <w:i/>
                <w:color w:val="000000" w:themeColor="text1"/>
                <w:sz w:val="16"/>
                <w:szCs w:val="16"/>
                <w:shd w:val="clear" w:color="auto" w:fill="FFFFFF"/>
              </w:rPr>
              <w:t xml:space="preserve">The consideration amount per security should be provided per the currency specified in </w:t>
            </w:r>
            <w:r w:rsidR="00E228BF" w:rsidRPr="00261495">
              <w:rPr>
                <w:rFonts w:cs="Arial"/>
                <w:i/>
                <w:color w:val="000000" w:themeColor="text1"/>
                <w:sz w:val="16"/>
                <w:szCs w:val="16"/>
                <w:shd w:val="clear" w:color="auto" w:fill="FFFFFF"/>
              </w:rPr>
              <w:t>Q2.6.</w:t>
            </w:r>
          </w:p>
          <w:p w14:paraId="50395A8F" w14:textId="35C3EDEF" w:rsidR="00E228BF" w:rsidRPr="00261495" w:rsidRDefault="00E228BF" w:rsidP="00E228BF">
            <w:pPr>
              <w:tabs>
                <w:tab w:val="clear" w:pos="851"/>
              </w:tabs>
              <w:spacing w:before="60" w:after="60"/>
              <w:rPr>
                <w:rFonts w:ascii="Helvetica" w:hAnsi="Helvetica" w:cs="Helvetica"/>
                <w:color w:val="000000" w:themeColor="text1"/>
                <w:szCs w:val="20"/>
                <w:lang w:val="en-US"/>
              </w:rPr>
            </w:pPr>
            <w:r w:rsidRPr="00261495">
              <w:rPr>
                <w:rFonts w:ascii="Helvetica" w:hAnsi="Helvetica" w:cs="Helvetica"/>
                <w:i/>
                <w:color w:val="000000" w:themeColor="text1"/>
                <w:sz w:val="16"/>
                <w:szCs w:val="16"/>
                <w:lang w:val="en-US"/>
              </w:rPr>
              <w:t xml:space="preserve">Note: This question is </w:t>
            </w:r>
            <w:r w:rsidRPr="00261495">
              <w:rPr>
                <w:rFonts w:ascii="Helvetica" w:hAnsi="Helvetica" w:cs="Helvetica"/>
                <w:i/>
                <w:color w:val="000000" w:themeColor="text1"/>
                <w:sz w:val="16"/>
                <w:szCs w:val="16"/>
                <w:u w:val="single"/>
                <w:lang w:val="en-US"/>
              </w:rPr>
              <w:t>not</w:t>
            </w:r>
            <w:r w:rsidRPr="00261495">
              <w:rPr>
                <w:rFonts w:ascii="Helvetica" w:hAnsi="Helvetica" w:cs="Helvetica"/>
                <w:i/>
                <w:color w:val="000000" w:themeColor="text1"/>
                <w:sz w:val="16"/>
                <w:szCs w:val="16"/>
                <w:lang w:val="en-US"/>
              </w:rPr>
              <w:t xml:space="preserve"> applicable for buy-back events (i.e. Minimum Holding, Employee, On-Market, Equal Access, Selective),</w:t>
            </w:r>
          </w:p>
        </w:tc>
        <w:tc>
          <w:tcPr>
            <w:tcW w:w="3969" w:type="dxa"/>
            <w:shd w:val="clear" w:color="auto" w:fill="auto"/>
          </w:tcPr>
          <w:p w14:paraId="4353EF39" w14:textId="0C369106" w:rsidR="009E7EBA" w:rsidRPr="00261495" w:rsidRDefault="009E7EBA" w:rsidP="002A75FB">
            <w:pPr>
              <w:pStyle w:val="Boxtext"/>
              <w:rPr>
                <w:rFonts w:ascii="Arial" w:hAnsi="Arial" w:cs="Arial"/>
                <w:color w:val="000000" w:themeColor="text1"/>
              </w:rPr>
            </w:pPr>
          </w:p>
        </w:tc>
      </w:tr>
      <w:tr w:rsidR="00E228BF" w:rsidRPr="00600CAC" w14:paraId="599EF60A" w14:textId="77777777" w:rsidTr="00E073A2">
        <w:tc>
          <w:tcPr>
            <w:tcW w:w="1134" w:type="dxa"/>
            <w:shd w:val="clear" w:color="auto" w:fill="auto"/>
          </w:tcPr>
          <w:p w14:paraId="04D83B85" w14:textId="371E9FCB" w:rsidR="00E228BF" w:rsidRPr="00261495" w:rsidRDefault="00E228BF" w:rsidP="00D51CA6">
            <w:pPr>
              <w:pStyle w:val="Boxtext"/>
              <w:rPr>
                <w:rFonts w:ascii="Arial" w:hAnsi="Arial" w:cs="Arial"/>
                <w:color w:val="000000" w:themeColor="text1"/>
              </w:rPr>
            </w:pPr>
            <w:r w:rsidRPr="00261495">
              <w:rPr>
                <w:rFonts w:ascii="Arial" w:hAnsi="Arial" w:cs="Arial"/>
                <w:color w:val="000000" w:themeColor="text1"/>
              </w:rPr>
              <w:t>2.6b</w:t>
            </w:r>
          </w:p>
        </w:tc>
        <w:tc>
          <w:tcPr>
            <w:tcW w:w="3969" w:type="dxa"/>
            <w:shd w:val="clear" w:color="auto" w:fill="auto"/>
          </w:tcPr>
          <w:p w14:paraId="70EB0B55" w14:textId="77777777" w:rsidR="00E228BF" w:rsidRPr="00261495" w:rsidRDefault="00E228BF" w:rsidP="00E228BF">
            <w:pPr>
              <w:tabs>
                <w:tab w:val="clear" w:pos="851"/>
              </w:tabs>
              <w:spacing w:before="60" w:after="60"/>
              <w:rPr>
                <w:color w:val="000000" w:themeColor="text1"/>
                <w:szCs w:val="20"/>
              </w:rPr>
            </w:pPr>
            <w:r w:rsidRPr="00261495">
              <w:rPr>
                <w:color w:val="000000" w:themeColor="text1"/>
                <w:szCs w:val="20"/>
              </w:rPr>
              <w:t>*Total consideration paid or payable for the securities</w:t>
            </w:r>
          </w:p>
          <w:p w14:paraId="041EBDCF" w14:textId="77777777" w:rsidR="00E228BF" w:rsidRPr="00261495" w:rsidRDefault="00E228BF" w:rsidP="00E228BF">
            <w:pPr>
              <w:tabs>
                <w:tab w:val="clear" w:pos="851"/>
              </w:tabs>
              <w:spacing w:before="60" w:after="60"/>
              <w:rPr>
                <w:rFonts w:cs="Arial"/>
                <w:i/>
                <w:color w:val="000000" w:themeColor="text1"/>
                <w:sz w:val="16"/>
                <w:szCs w:val="16"/>
                <w:shd w:val="clear" w:color="auto" w:fill="FFFFFF"/>
              </w:rPr>
            </w:pPr>
            <w:r w:rsidRPr="00261495">
              <w:rPr>
                <w:rFonts w:cs="Arial"/>
                <w:i/>
                <w:color w:val="000000" w:themeColor="text1"/>
                <w:sz w:val="16"/>
                <w:szCs w:val="16"/>
                <w:shd w:val="clear" w:color="auto" w:fill="FFFFFF"/>
              </w:rPr>
              <w:t>The total consideration amount should be provided per the currency specified in Q2.6.</w:t>
            </w:r>
          </w:p>
          <w:p w14:paraId="2A64607A" w14:textId="77777777" w:rsidR="00E228BF" w:rsidRPr="00261495" w:rsidRDefault="00E228BF" w:rsidP="00E228BF">
            <w:pPr>
              <w:tabs>
                <w:tab w:val="clear" w:pos="851"/>
              </w:tabs>
              <w:spacing w:before="60" w:after="60"/>
              <w:rPr>
                <w:color w:val="000000" w:themeColor="text1"/>
                <w:szCs w:val="20"/>
              </w:rPr>
            </w:pPr>
          </w:p>
          <w:p w14:paraId="76700C25" w14:textId="3B7B491B" w:rsidR="00E228BF" w:rsidRPr="00261495" w:rsidRDefault="00E228BF" w:rsidP="00A33D10">
            <w:pPr>
              <w:pStyle w:val="Boxtext"/>
              <w:rPr>
                <w:rFonts w:ascii="Arial" w:hAnsi="Arial" w:cs="Arial"/>
                <w:color w:val="000000" w:themeColor="text1"/>
              </w:rPr>
            </w:pPr>
            <w:r w:rsidRPr="00261495">
              <w:rPr>
                <w:rFonts w:ascii="Helvetica" w:hAnsi="Helvetica" w:cs="Helvetica"/>
                <w:i/>
                <w:color w:val="000000" w:themeColor="text1"/>
                <w:sz w:val="16"/>
                <w:szCs w:val="16"/>
                <w:lang w:val="en-US"/>
              </w:rPr>
              <w:t xml:space="preserve">Note: This question </w:t>
            </w:r>
            <w:r w:rsidRPr="00261495">
              <w:rPr>
                <w:rFonts w:ascii="Helvetica" w:hAnsi="Helvetica" w:cs="Helvetica"/>
                <w:i/>
                <w:color w:val="000000" w:themeColor="text1"/>
                <w:sz w:val="16"/>
                <w:szCs w:val="16"/>
                <w:u w:val="single"/>
                <w:lang w:val="en-US"/>
              </w:rPr>
              <w:t>is</w:t>
            </w:r>
            <w:r w:rsidRPr="00261495">
              <w:rPr>
                <w:rFonts w:ascii="Helvetica" w:hAnsi="Helvetica" w:cs="Helvetica"/>
                <w:i/>
                <w:color w:val="000000" w:themeColor="text1"/>
                <w:sz w:val="16"/>
                <w:szCs w:val="16"/>
                <w:lang w:val="en-US"/>
              </w:rPr>
              <w:t xml:space="preserve"> applicable to buy-back events </w:t>
            </w:r>
            <w:r w:rsidR="00A33D10" w:rsidRPr="00261495">
              <w:rPr>
                <w:rFonts w:ascii="Helvetica" w:hAnsi="Helvetica" w:cs="Helvetica"/>
                <w:i/>
                <w:color w:val="000000" w:themeColor="text1"/>
                <w:sz w:val="16"/>
                <w:szCs w:val="16"/>
                <w:lang w:val="en-US"/>
              </w:rPr>
              <w:t xml:space="preserve">only </w:t>
            </w:r>
            <w:r w:rsidRPr="00261495">
              <w:rPr>
                <w:rFonts w:ascii="Helvetica" w:hAnsi="Helvetica" w:cs="Helvetica"/>
                <w:i/>
                <w:color w:val="000000" w:themeColor="text1"/>
                <w:sz w:val="16"/>
                <w:szCs w:val="16"/>
                <w:lang w:val="en-US"/>
              </w:rPr>
              <w:t xml:space="preserve">(i.e. </w:t>
            </w:r>
            <w:r w:rsidR="00A33D10" w:rsidRPr="00261495">
              <w:rPr>
                <w:rFonts w:ascii="Helvetica" w:hAnsi="Helvetica" w:cs="Helvetica"/>
                <w:i/>
                <w:color w:val="000000" w:themeColor="text1"/>
                <w:sz w:val="16"/>
                <w:szCs w:val="16"/>
                <w:lang w:val="en-US"/>
              </w:rPr>
              <w:t>m</w:t>
            </w:r>
            <w:r w:rsidRPr="00261495">
              <w:rPr>
                <w:rFonts w:ascii="Helvetica" w:hAnsi="Helvetica" w:cs="Helvetica"/>
                <w:i/>
                <w:color w:val="000000" w:themeColor="text1"/>
                <w:sz w:val="16"/>
                <w:szCs w:val="16"/>
                <w:lang w:val="en-US"/>
              </w:rPr>
              <w:t xml:space="preserve">inimum </w:t>
            </w:r>
            <w:r w:rsidR="00A33D10" w:rsidRPr="00261495">
              <w:rPr>
                <w:rFonts w:ascii="Helvetica" w:hAnsi="Helvetica" w:cs="Helvetica"/>
                <w:i/>
                <w:color w:val="000000" w:themeColor="text1"/>
                <w:sz w:val="16"/>
                <w:szCs w:val="16"/>
                <w:lang w:val="en-US"/>
              </w:rPr>
              <w:t>h</w:t>
            </w:r>
            <w:r w:rsidRPr="00261495">
              <w:rPr>
                <w:rFonts w:ascii="Helvetica" w:hAnsi="Helvetica" w:cs="Helvetica"/>
                <w:i/>
                <w:color w:val="000000" w:themeColor="text1"/>
                <w:sz w:val="16"/>
                <w:szCs w:val="16"/>
                <w:lang w:val="en-US"/>
              </w:rPr>
              <w:t xml:space="preserve">olding, </w:t>
            </w:r>
            <w:r w:rsidR="00A33D10" w:rsidRPr="00261495">
              <w:rPr>
                <w:rFonts w:ascii="Helvetica" w:hAnsi="Helvetica" w:cs="Helvetica"/>
                <w:i/>
                <w:color w:val="000000" w:themeColor="text1"/>
                <w:sz w:val="16"/>
                <w:szCs w:val="16"/>
                <w:lang w:val="en-US"/>
              </w:rPr>
              <w:t>employee share scheme, on-market, equal access scheme, s</w:t>
            </w:r>
            <w:r w:rsidRPr="00261495">
              <w:rPr>
                <w:rFonts w:ascii="Helvetica" w:hAnsi="Helvetica" w:cs="Helvetica"/>
                <w:i/>
                <w:color w:val="000000" w:themeColor="text1"/>
                <w:sz w:val="16"/>
                <w:szCs w:val="16"/>
                <w:lang w:val="en-US"/>
              </w:rPr>
              <w:t>elective</w:t>
            </w:r>
            <w:r w:rsidR="00A33D10" w:rsidRPr="00261495">
              <w:rPr>
                <w:rFonts w:ascii="Helvetica" w:hAnsi="Helvetica" w:cs="Helvetica"/>
                <w:i/>
                <w:color w:val="000000" w:themeColor="text1"/>
                <w:sz w:val="16"/>
                <w:szCs w:val="16"/>
                <w:lang w:val="en-US"/>
              </w:rPr>
              <w:t xml:space="preserve"> or other</w:t>
            </w:r>
            <w:r w:rsidRPr="00261495">
              <w:rPr>
                <w:rFonts w:ascii="Helvetica" w:hAnsi="Helvetica" w:cs="Helvetica"/>
                <w:i/>
                <w:color w:val="000000" w:themeColor="text1"/>
                <w:sz w:val="16"/>
                <w:szCs w:val="16"/>
                <w:lang w:val="en-US"/>
              </w:rPr>
              <w:t>),</w:t>
            </w:r>
          </w:p>
        </w:tc>
        <w:tc>
          <w:tcPr>
            <w:tcW w:w="3969" w:type="dxa"/>
            <w:shd w:val="clear" w:color="auto" w:fill="auto"/>
          </w:tcPr>
          <w:p w14:paraId="438ED570" w14:textId="77777777" w:rsidR="00E228BF" w:rsidRPr="00261495" w:rsidRDefault="00E228BF">
            <w:pPr>
              <w:pStyle w:val="Boxtext"/>
              <w:rPr>
                <w:rFonts w:ascii="Arial" w:hAnsi="Arial" w:cs="Arial"/>
                <w:color w:val="000000" w:themeColor="text1"/>
              </w:rPr>
            </w:pPr>
          </w:p>
        </w:tc>
      </w:tr>
      <w:tr w:rsidR="002B0295" w:rsidRPr="00600CAC" w14:paraId="246E4533" w14:textId="77777777" w:rsidTr="00E073A2">
        <w:tc>
          <w:tcPr>
            <w:tcW w:w="1134" w:type="dxa"/>
            <w:shd w:val="clear" w:color="auto" w:fill="auto"/>
          </w:tcPr>
          <w:p w14:paraId="0FE5C3AD" w14:textId="2EBD235D" w:rsidR="00C01220" w:rsidRPr="00600CAC" w:rsidRDefault="00C6531B" w:rsidP="00D51CA6">
            <w:pPr>
              <w:pStyle w:val="Boxtext"/>
              <w:rPr>
                <w:rFonts w:ascii="Arial" w:hAnsi="Arial" w:cs="Arial"/>
              </w:rPr>
            </w:pPr>
            <w:r w:rsidRPr="00600CAC">
              <w:rPr>
                <w:rFonts w:ascii="Arial" w:hAnsi="Arial" w:cs="Arial"/>
              </w:rPr>
              <w:t>2.7</w:t>
            </w:r>
          </w:p>
        </w:tc>
        <w:tc>
          <w:tcPr>
            <w:tcW w:w="3969" w:type="dxa"/>
            <w:shd w:val="clear" w:color="auto" w:fill="auto"/>
          </w:tcPr>
          <w:p w14:paraId="7C907945" w14:textId="2DA335D2" w:rsidR="00C01220" w:rsidRPr="00600CAC" w:rsidRDefault="001D4666" w:rsidP="00EF0676">
            <w:pPr>
              <w:pStyle w:val="Boxtext"/>
              <w:rPr>
                <w:rFonts w:ascii="Arial" w:hAnsi="Arial" w:cs="Arial"/>
              </w:rPr>
            </w:pPr>
            <w:r w:rsidRPr="00600CAC">
              <w:rPr>
                <w:rFonts w:ascii="Arial" w:hAnsi="Arial" w:cs="Arial"/>
              </w:rPr>
              <w:t xml:space="preserve">Any other information </w:t>
            </w:r>
            <w:r w:rsidR="008F4C82" w:rsidRPr="00600CAC">
              <w:rPr>
                <w:rFonts w:ascii="Arial" w:hAnsi="Arial" w:cs="Arial"/>
              </w:rPr>
              <w:t xml:space="preserve">the entity wishes to notify to ASX </w:t>
            </w:r>
            <w:r w:rsidRPr="00600CAC">
              <w:rPr>
                <w:rFonts w:ascii="Arial" w:hAnsi="Arial" w:cs="Arial"/>
              </w:rPr>
              <w:t xml:space="preserve">about the </w:t>
            </w:r>
            <w:r w:rsidR="00EF0676" w:rsidRPr="00600CAC">
              <w:rPr>
                <w:rFonts w:ascii="Arial" w:hAnsi="Arial" w:cs="Arial"/>
              </w:rPr>
              <w:t>cessation</w:t>
            </w:r>
            <w:r w:rsidRPr="00600CAC">
              <w:rPr>
                <w:rFonts w:ascii="Arial" w:hAnsi="Arial" w:cs="Arial"/>
              </w:rPr>
              <w:t xml:space="preserve">? </w:t>
            </w:r>
          </w:p>
        </w:tc>
        <w:tc>
          <w:tcPr>
            <w:tcW w:w="3969" w:type="dxa"/>
            <w:shd w:val="clear" w:color="auto" w:fill="auto"/>
          </w:tcPr>
          <w:p w14:paraId="6C485F9A" w14:textId="77777777" w:rsidR="00C51522" w:rsidRDefault="00C51522">
            <w:pPr>
              <w:pStyle w:val="Boxtext"/>
              <w:rPr>
                <w:rFonts w:ascii="Arial" w:hAnsi="Arial" w:cs="Arial"/>
              </w:rPr>
            </w:pPr>
          </w:p>
          <w:p w14:paraId="4D893976" w14:textId="7493FC71" w:rsidR="00C51522" w:rsidRPr="00600CAC" w:rsidRDefault="00C51522">
            <w:pPr>
              <w:pStyle w:val="Boxtext"/>
              <w:rPr>
                <w:rFonts w:ascii="Arial" w:hAnsi="Arial" w:cs="Arial"/>
              </w:rPr>
            </w:pPr>
          </w:p>
        </w:tc>
      </w:tr>
    </w:tbl>
    <w:p w14:paraId="35618D7E" w14:textId="6E2FB452" w:rsidR="001D4666" w:rsidRPr="00600CAC" w:rsidRDefault="008F74E9" w:rsidP="001310DB">
      <w:pPr>
        <w:pStyle w:val="Heading1"/>
        <w:rPr>
          <w:rFonts w:ascii="Helvetica" w:hAnsi="Helvetica" w:cs="Helvetica"/>
          <w:bCs w:val="0"/>
          <w:i/>
          <w:color w:val="333333"/>
          <w:kern w:val="0"/>
          <w:sz w:val="16"/>
          <w:szCs w:val="16"/>
          <w:lang w:val="en-US"/>
        </w:rPr>
      </w:pPr>
      <w:r w:rsidRPr="00600CAC">
        <w:rPr>
          <w:rFonts w:ascii="Helvetica" w:hAnsi="Helvetica" w:cs="Helvetica"/>
          <w:bCs w:val="0"/>
          <w:i/>
          <w:color w:val="333333"/>
          <w:kern w:val="0"/>
          <w:sz w:val="16"/>
          <w:szCs w:val="16"/>
          <w:lang w:val="en-US"/>
        </w:rPr>
        <w:t xml:space="preserve">Repeat the above questions if you are advising </w:t>
      </w:r>
      <w:r w:rsidR="009E1E8A" w:rsidRPr="00600CAC">
        <w:rPr>
          <w:rFonts w:ascii="Helvetica" w:hAnsi="Helvetica" w:cs="Helvetica"/>
          <w:bCs w:val="0"/>
          <w:i/>
          <w:color w:val="333333"/>
          <w:kern w:val="0"/>
          <w:sz w:val="16"/>
          <w:szCs w:val="16"/>
          <w:lang w:val="en-US"/>
        </w:rPr>
        <w:t xml:space="preserve">the cessation </w:t>
      </w:r>
      <w:r w:rsidRPr="00600CAC">
        <w:rPr>
          <w:rFonts w:ascii="Helvetica" w:hAnsi="Helvetica" w:cs="Helvetica"/>
          <w:bCs w:val="0"/>
          <w:i/>
          <w:color w:val="333333"/>
          <w:kern w:val="0"/>
          <w:sz w:val="16"/>
          <w:szCs w:val="16"/>
          <w:lang w:val="en-US"/>
        </w:rPr>
        <w:t>o</w:t>
      </w:r>
      <w:r w:rsidR="009E1E8A" w:rsidRPr="00600CAC">
        <w:rPr>
          <w:rFonts w:ascii="Helvetica" w:hAnsi="Helvetica" w:cs="Helvetica"/>
          <w:bCs w:val="0"/>
          <w:i/>
          <w:color w:val="333333"/>
          <w:kern w:val="0"/>
          <w:sz w:val="16"/>
          <w:szCs w:val="16"/>
          <w:lang w:val="en-US"/>
        </w:rPr>
        <w:t>f</w:t>
      </w:r>
      <w:r w:rsidRPr="00600CAC">
        <w:rPr>
          <w:rFonts w:ascii="Helvetica" w:hAnsi="Helvetica" w:cs="Helvetica"/>
          <w:bCs w:val="0"/>
          <w:i/>
          <w:color w:val="333333"/>
          <w:kern w:val="0"/>
          <w:sz w:val="16"/>
          <w:szCs w:val="16"/>
          <w:lang w:val="en-US"/>
        </w:rPr>
        <w:t xml:space="preserve"> more than one security class.</w:t>
      </w:r>
    </w:p>
    <w:p w14:paraId="364DF0FA" w14:textId="77777777" w:rsidR="00261495" w:rsidRDefault="00261495">
      <w:pPr>
        <w:tabs>
          <w:tab w:val="clear" w:pos="851"/>
        </w:tabs>
        <w:spacing w:before="0" w:after="0"/>
        <w:rPr>
          <w:rFonts w:cs="Arial"/>
          <w:bCs/>
          <w:kern w:val="32"/>
          <w:sz w:val="28"/>
          <w:szCs w:val="22"/>
        </w:rPr>
      </w:pPr>
      <w:r>
        <w:rPr>
          <w:szCs w:val="22"/>
        </w:rPr>
        <w:br w:type="page"/>
      </w:r>
    </w:p>
    <w:p w14:paraId="7A7DFE0D" w14:textId="71B43690" w:rsidR="001310DB" w:rsidRPr="00600CAC" w:rsidRDefault="001310DB" w:rsidP="001310DB">
      <w:pPr>
        <w:pStyle w:val="Heading1"/>
        <w:rPr>
          <w:szCs w:val="22"/>
        </w:rPr>
      </w:pPr>
      <w:r w:rsidRPr="00600CAC">
        <w:rPr>
          <w:szCs w:val="22"/>
        </w:rPr>
        <w:lastRenderedPageBreak/>
        <w:t xml:space="preserve">Part </w:t>
      </w:r>
      <w:r w:rsidR="001D4666" w:rsidRPr="00600CAC">
        <w:rPr>
          <w:szCs w:val="22"/>
        </w:rPr>
        <w:t>3</w:t>
      </w:r>
      <w:r w:rsidRPr="00600CAC">
        <w:rPr>
          <w:szCs w:val="22"/>
        </w:rPr>
        <w:t xml:space="preserve"> – Issued capital following changes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937"/>
      </w:tblGrid>
      <w:tr w:rsidR="002B0295" w:rsidRPr="00600CAC" w14:paraId="14E0B62F" w14:textId="77777777" w:rsidTr="00B84A8C">
        <w:trPr>
          <w:cantSplit/>
        </w:trPr>
        <w:tc>
          <w:tcPr>
            <w:tcW w:w="9071" w:type="dxa"/>
            <w:gridSpan w:val="2"/>
            <w:shd w:val="clear" w:color="auto" w:fill="auto"/>
          </w:tcPr>
          <w:p w14:paraId="451A1692" w14:textId="27E0443C" w:rsidR="002B0295" w:rsidRPr="00600CAC" w:rsidRDefault="002B0295" w:rsidP="00E073A2">
            <w:pPr>
              <w:pStyle w:val="Boxtext"/>
              <w:keepNext/>
              <w:rPr>
                <w:rFonts w:ascii="Arial" w:hAnsi="Arial" w:cs="Arial"/>
              </w:rPr>
            </w:pPr>
            <w:r w:rsidRPr="00600CAC">
              <w:rPr>
                <w:rFonts w:ascii="Arial" w:hAnsi="Arial" w:cs="Arial"/>
              </w:rPr>
              <w:t>Following the cessation of the +securities the subject of this notification, the issued capital of the entity will comprise:</w:t>
            </w:r>
          </w:p>
        </w:tc>
      </w:tr>
      <w:tr w:rsidR="001310DB" w:rsidRPr="00600CAC" w14:paraId="0EA74162" w14:textId="77777777" w:rsidTr="00E073A2">
        <w:trPr>
          <w:cantSplit/>
        </w:trPr>
        <w:tc>
          <w:tcPr>
            <w:tcW w:w="1134" w:type="dxa"/>
            <w:shd w:val="clear" w:color="auto" w:fill="auto"/>
          </w:tcPr>
          <w:p w14:paraId="3EA70F0A" w14:textId="77777777" w:rsidR="001310DB" w:rsidRPr="00600CAC" w:rsidRDefault="001D4666" w:rsidP="00D737B9">
            <w:pPr>
              <w:pStyle w:val="Boxtext"/>
              <w:rPr>
                <w:rFonts w:ascii="Arial" w:hAnsi="Arial" w:cs="Arial"/>
              </w:rPr>
            </w:pPr>
            <w:r w:rsidRPr="00600CAC">
              <w:rPr>
                <w:rFonts w:ascii="Arial" w:hAnsi="Arial" w:cs="Arial"/>
              </w:rPr>
              <w:t>3</w:t>
            </w:r>
            <w:r w:rsidR="001310DB" w:rsidRPr="00600CAC">
              <w:rPr>
                <w:rFonts w:ascii="Arial" w:hAnsi="Arial" w:cs="Arial"/>
              </w:rPr>
              <w:t>.1</w:t>
            </w:r>
          </w:p>
        </w:tc>
        <w:tc>
          <w:tcPr>
            <w:tcW w:w="7937" w:type="dxa"/>
            <w:shd w:val="clear" w:color="auto" w:fill="auto"/>
          </w:tcPr>
          <w:p w14:paraId="29F8CD99" w14:textId="1CBF9200" w:rsidR="001310DB" w:rsidRPr="00600CAC" w:rsidRDefault="001310DB" w:rsidP="00D737B9">
            <w:pPr>
              <w:pStyle w:val="Boxtext"/>
              <w:rPr>
                <w:rFonts w:ascii="Arial" w:hAnsi="Arial" w:cs="Arial"/>
                <w:i/>
                <w:sz w:val="16"/>
                <w:szCs w:val="16"/>
              </w:rPr>
            </w:pPr>
            <w:r w:rsidRPr="00600CAC">
              <w:rPr>
                <w:rFonts w:ascii="Arial" w:hAnsi="Arial" w:cs="Arial"/>
              </w:rPr>
              <w:t>*</w:t>
            </w:r>
            <w:r w:rsidRPr="00600CAC">
              <w:rPr>
                <w:rFonts w:ascii="Arial" w:hAnsi="Arial" w:cs="Arial"/>
                <w:b/>
              </w:rPr>
              <w:t>Quoted +</w:t>
            </w:r>
            <w:r w:rsidR="004233D3" w:rsidRPr="00600CAC">
              <w:rPr>
                <w:rFonts w:ascii="Arial" w:hAnsi="Arial" w:cs="Arial"/>
                <w:b/>
              </w:rPr>
              <w:t xml:space="preserve">equity </w:t>
            </w:r>
            <w:r w:rsidRPr="00600CAC">
              <w:rPr>
                <w:rFonts w:ascii="Arial" w:hAnsi="Arial" w:cs="Arial"/>
                <w:b/>
              </w:rPr>
              <w:t>securities</w:t>
            </w:r>
            <w:r w:rsidR="004233D3" w:rsidRPr="00600CAC">
              <w:rPr>
                <w:rFonts w:ascii="Arial" w:hAnsi="Arial" w:cs="Arial"/>
                <w:b/>
              </w:rPr>
              <w:t xml:space="preserve"> and +debt securities</w:t>
            </w:r>
            <w:r w:rsidRPr="00600CAC">
              <w:rPr>
                <w:rFonts w:ascii="Arial" w:hAnsi="Arial" w:cs="Arial"/>
              </w:rPr>
              <w:t xml:space="preserve"> (total number of each +class of +securities quoted on ASX)</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3855"/>
            </w:tblGrid>
            <w:tr w:rsidR="002B0295" w:rsidRPr="00600CAC" w14:paraId="6CFB7501" w14:textId="77777777" w:rsidTr="00E073A2">
              <w:tc>
                <w:tcPr>
                  <w:tcW w:w="3855" w:type="dxa"/>
                  <w:shd w:val="clear" w:color="auto" w:fill="auto"/>
                </w:tcPr>
                <w:p w14:paraId="48F42DB0" w14:textId="0585D868" w:rsidR="001310DB" w:rsidRPr="00600CAC" w:rsidRDefault="001310DB" w:rsidP="00D737B9">
                  <w:pPr>
                    <w:pStyle w:val="Boxtext"/>
                    <w:rPr>
                      <w:rFonts w:ascii="Arial" w:hAnsi="Arial" w:cs="Arial"/>
                    </w:rPr>
                  </w:pPr>
                  <w:r w:rsidRPr="00600CAC">
                    <w:rPr>
                      <w:rFonts w:ascii="Arial" w:hAnsi="Arial" w:cs="Arial"/>
                    </w:rPr>
                    <w:t xml:space="preserve">ASX </w:t>
                  </w:r>
                  <w:r w:rsidR="000533F5" w:rsidRPr="00600CAC">
                    <w:rPr>
                      <w:rFonts w:ascii="Arial" w:hAnsi="Arial" w:cs="Arial"/>
                    </w:rPr>
                    <w:t>+</w:t>
                  </w:r>
                  <w:r w:rsidRPr="00600CAC">
                    <w:rPr>
                      <w:rFonts w:ascii="Arial" w:hAnsi="Arial" w:cs="Arial"/>
                    </w:rPr>
                    <w:t>security code and description</w:t>
                  </w:r>
                </w:p>
              </w:tc>
              <w:tc>
                <w:tcPr>
                  <w:tcW w:w="3855" w:type="dxa"/>
                  <w:shd w:val="clear" w:color="auto" w:fill="auto"/>
                </w:tcPr>
                <w:p w14:paraId="5A89A13D" w14:textId="77777777" w:rsidR="001310DB" w:rsidRPr="00600CAC" w:rsidRDefault="001310DB" w:rsidP="00D737B9">
                  <w:pPr>
                    <w:pStyle w:val="Boxtext"/>
                    <w:rPr>
                      <w:rFonts w:ascii="Arial" w:hAnsi="Arial" w:cs="Arial"/>
                    </w:rPr>
                  </w:pPr>
                  <w:r w:rsidRPr="00600CAC">
                    <w:rPr>
                      <w:rFonts w:ascii="Arial" w:hAnsi="Arial" w:cs="Arial"/>
                    </w:rPr>
                    <w:t>Total number of +securities on issue</w:t>
                  </w:r>
                </w:p>
              </w:tc>
            </w:tr>
            <w:tr w:rsidR="002B0295" w:rsidRPr="00600CAC" w14:paraId="016CC073" w14:textId="77777777" w:rsidTr="00E073A2">
              <w:trPr>
                <w:cantSplit/>
              </w:trPr>
              <w:tc>
                <w:tcPr>
                  <w:tcW w:w="3855" w:type="dxa"/>
                  <w:shd w:val="clear" w:color="auto" w:fill="auto"/>
                </w:tcPr>
                <w:p w14:paraId="05C48B06" w14:textId="77777777" w:rsidR="001310DB" w:rsidRPr="00600CAC" w:rsidRDefault="001310DB" w:rsidP="00D737B9">
                  <w:pPr>
                    <w:pStyle w:val="Boxtext"/>
                    <w:rPr>
                      <w:rFonts w:ascii="Arial" w:hAnsi="Arial" w:cs="Arial"/>
                    </w:rPr>
                  </w:pPr>
                </w:p>
                <w:p w14:paraId="601608C5" w14:textId="77777777" w:rsidR="001310DB" w:rsidRPr="00600CAC" w:rsidRDefault="001310DB" w:rsidP="00D737B9">
                  <w:pPr>
                    <w:pStyle w:val="Boxtext"/>
                    <w:rPr>
                      <w:rFonts w:ascii="Arial" w:hAnsi="Arial" w:cs="Arial"/>
                    </w:rPr>
                  </w:pPr>
                </w:p>
                <w:p w14:paraId="485B521F" w14:textId="77777777" w:rsidR="001310DB" w:rsidRPr="00600CAC" w:rsidRDefault="001310DB" w:rsidP="00D737B9">
                  <w:pPr>
                    <w:pStyle w:val="Boxtext"/>
                    <w:rPr>
                      <w:rFonts w:ascii="Arial" w:hAnsi="Arial" w:cs="Arial"/>
                    </w:rPr>
                  </w:pPr>
                </w:p>
                <w:p w14:paraId="726A3FF5" w14:textId="77777777" w:rsidR="001310DB" w:rsidRPr="00600CAC" w:rsidRDefault="001310DB" w:rsidP="00D737B9">
                  <w:pPr>
                    <w:pStyle w:val="Boxtext"/>
                    <w:rPr>
                      <w:rFonts w:ascii="Arial" w:hAnsi="Arial" w:cs="Arial"/>
                    </w:rPr>
                  </w:pPr>
                </w:p>
                <w:p w14:paraId="71248BE4" w14:textId="77777777" w:rsidR="001310DB" w:rsidRPr="00600CAC" w:rsidRDefault="001310DB" w:rsidP="00D737B9">
                  <w:pPr>
                    <w:pStyle w:val="Boxtext"/>
                    <w:rPr>
                      <w:rFonts w:ascii="Arial" w:hAnsi="Arial" w:cs="Arial"/>
                    </w:rPr>
                  </w:pPr>
                </w:p>
              </w:tc>
              <w:tc>
                <w:tcPr>
                  <w:tcW w:w="3855" w:type="dxa"/>
                  <w:shd w:val="clear" w:color="auto" w:fill="auto"/>
                </w:tcPr>
                <w:p w14:paraId="2217ADA1" w14:textId="77777777" w:rsidR="001310DB" w:rsidRPr="00600CAC" w:rsidRDefault="001310DB" w:rsidP="00D737B9">
                  <w:pPr>
                    <w:pStyle w:val="Boxtext"/>
                    <w:rPr>
                      <w:rFonts w:ascii="Arial" w:hAnsi="Arial" w:cs="Arial"/>
                    </w:rPr>
                  </w:pPr>
                </w:p>
              </w:tc>
            </w:tr>
          </w:tbl>
          <w:p w14:paraId="441FAFC7" w14:textId="77777777" w:rsidR="001310DB" w:rsidRPr="00600CAC" w:rsidRDefault="001310DB" w:rsidP="00D737B9">
            <w:pPr>
              <w:pStyle w:val="Boxtext"/>
              <w:rPr>
                <w:rFonts w:ascii="Arial" w:hAnsi="Arial" w:cs="Arial"/>
              </w:rPr>
            </w:pPr>
            <w:r w:rsidRPr="00600CAC">
              <w:rPr>
                <w:rFonts w:ascii="Arial" w:hAnsi="Arial" w:cs="Arial"/>
              </w:rPr>
              <w:t> </w:t>
            </w:r>
          </w:p>
        </w:tc>
      </w:tr>
      <w:tr w:rsidR="001310DB" w:rsidRPr="00600CAC" w14:paraId="75B9A5FF" w14:textId="77777777" w:rsidTr="00E073A2">
        <w:trPr>
          <w:cantSplit/>
        </w:trPr>
        <w:tc>
          <w:tcPr>
            <w:tcW w:w="1134" w:type="dxa"/>
            <w:shd w:val="clear" w:color="auto" w:fill="auto"/>
          </w:tcPr>
          <w:p w14:paraId="4184149C" w14:textId="77777777" w:rsidR="001310DB" w:rsidRPr="00600CAC" w:rsidRDefault="001D4666" w:rsidP="00D737B9">
            <w:pPr>
              <w:pStyle w:val="Boxtext"/>
              <w:rPr>
                <w:rFonts w:ascii="Arial" w:hAnsi="Arial" w:cs="Arial"/>
              </w:rPr>
            </w:pPr>
            <w:r w:rsidRPr="00600CAC">
              <w:rPr>
                <w:rFonts w:ascii="Arial" w:hAnsi="Arial" w:cs="Arial"/>
              </w:rPr>
              <w:t>3</w:t>
            </w:r>
            <w:r w:rsidR="001310DB" w:rsidRPr="00600CAC">
              <w:rPr>
                <w:rFonts w:ascii="Arial" w:hAnsi="Arial" w:cs="Arial"/>
              </w:rPr>
              <w:t>.2</w:t>
            </w:r>
          </w:p>
        </w:tc>
        <w:tc>
          <w:tcPr>
            <w:tcW w:w="7937" w:type="dxa"/>
            <w:shd w:val="clear" w:color="auto" w:fill="auto"/>
          </w:tcPr>
          <w:p w14:paraId="03176D82" w14:textId="0BF400A3" w:rsidR="001310DB" w:rsidRPr="00600CAC" w:rsidRDefault="001310DB" w:rsidP="00D737B9">
            <w:pPr>
              <w:pStyle w:val="Boxtext"/>
              <w:rPr>
                <w:rFonts w:ascii="Arial" w:hAnsi="Arial" w:cs="Arial"/>
              </w:rPr>
            </w:pPr>
            <w:r w:rsidRPr="00600CAC">
              <w:rPr>
                <w:rFonts w:ascii="Arial" w:hAnsi="Arial" w:cs="Arial"/>
              </w:rPr>
              <w:t>*</w:t>
            </w:r>
            <w:r w:rsidRPr="00600CAC">
              <w:rPr>
                <w:rFonts w:ascii="Arial" w:hAnsi="Arial" w:cs="Arial"/>
                <w:b/>
              </w:rPr>
              <w:t>Unquoted +</w:t>
            </w:r>
            <w:r w:rsidR="004233D3" w:rsidRPr="00600CAC">
              <w:rPr>
                <w:rFonts w:ascii="Arial" w:hAnsi="Arial" w:cs="Arial"/>
                <w:b/>
              </w:rPr>
              <w:t xml:space="preserve">equity </w:t>
            </w:r>
            <w:r w:rsidRPr="00600CAC">
              <w:rPr>
                <w:rFonts w:ascii="Arial" w:hAnsi="Arial" w:cs="Arial"/>
                <w:b/>
              </w:rPr>
              <w:t>securities</w:t>
            </w:r>
            <w:r w:rsidRPr="00600CAC">
              <w:rPr>
                <w:rFonts w:ascii="Arial" w:hAnsi="Arial" w:cs="Arial"/>
              </w:rPr>
              <w:t xml:space="preserve"> (total number of each +class of +</w:t>
            </w:r>
            <w:r w:rsidR="004233D3" w:rsidRPr="00600CAC">
              <w:rPr>
                <w:rFonts w:ascii="Arial" w:hAnsi="Arial" w:cs="Arial"/>
              </w:rPr>
              <w:t xml:space="preserve">equity </w:t>
            </w:r>
            <w:r w:rsidRPr="00600CAC">
              <w:rPr>
                <w:rFonts w:ascii="Arial" w:hAnsi="Arial" w:cs="Arial"/>
              </w:rPr>
              <w:t>securities issued but not quoted on ASX):</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5"/>
              <w:gridCol w:w="3855"/>
            </w:tblGrid>
            <w:tr w:rsidR="002B0295" w:rsidRPr="00600CAC" w14:paraId="3DC70522" w14:textId="77777777" w:rsidTr="00E073A2">
              <w:tc>
                <w:tcPr>
                  <w:tcW w:w="3855" w:type="dxa"/>
                  <w:shd w:val="clear" w:color="auto" w:fill="auto"/>
                </w:tcPr>
                <w:p w14:paraId="34D0B69F" w14:textId="296CEC7D" w:rsidR="001310DB" w:rsidRPr="00600CAC" w:rsidRDefault="001310DB" w:rsidP="00D737B9">
                  <w:pPr>
                    <w:pStyle w:val="Boxtext"/>
                    <w:rPr>
                      <w:rFonts w:ascii="Arial" w:hAnsi="Arial" w:cs="Arial"/>
                    </w:rPr>
                  </w:pPr>
                  <w:r w:rsidRPr="00600CAC">
                    <w:rPr>
                      <w:rFonts w:ascii="Arial" w:hAnsi="Arial" w:cs="Arial"/>
                    </w:rPr>
                    <w:t xml:space="preserve">ASX </w:t>
                  </w:r>
                  <w:r w:rsidR="00C6531B" w:rsidRPr="00600CAC">
                    <w:rPr>
                      <w:rFonts w:ascii="Arial" w:hAnsi="Arial" w:cs="Arial"/>
                    </w:rPr>
                    <w:t>+</w:t>
                  </w:r>
                  <w:r w:rsidRPr="00600CAC">
                    <w:rPr>
                      <w:rFonts w:ascii="Arial" w:hAnsi="Arial" w:cs="Arial"/>
                    </w:rPr>
                    <w:t>security code and description</w:t>
                  </w:r>
                </w:p>
              </w:tc>
              <w:tc>
                <w:tcPr>
                  <w:tcW w:w="3855" w:type="dxa"/>
                  <w:shd w:val="clear" w:color="auto" w:fill="auto"/>
                </w:tcPr>
                <w:p w14:paraId="45FAB38D" w14:textId="77777777" w:rsidR="001310DB" w:rsidRPr="00600CAC" w:rsidRDefault="001310DB" w:rsidP="00D737B9">
                  <w:pPr>
                    <w:pStyle w:val="Boxtext"/>
                    <w:rPr>
                      <w:rFonts w:ascii="Arial" w:hAnsi="Arial" w:cs="Arial"/>
                    </w:rPr>
                  </w:pPr>
                  <w:r w:rsidRPr="00600CAC">
                    <w:rPr>
                      <w:rFonts w:ascii="Arial" w:hAnsi="Arial" w:cs="Arial"/>
                    </w:rPr>
                    <w:t>Total number of +securities on issue</w:t>
                  </w:r>
                </w:p>
              </w:tc>
            </w:tr>
            <w:tr w:rsidR="002B0295" w:rsidRPr="00600CAC" w14:paraId="726BDA6F" w14:textId="77777777" w:rsidTr="00E073A2">
              <w:tc>
                <w:tcPr>
                  <w:tcW w:w="3855" w:type="dxa"/>
                  <w:shd w:val="clear" w:color="auto" w:fill="auto"/>
                </w:tcPr>
                <w:p w14:paraId="171CCC2F" w14:textId="77777777" w:rsidR="001310DB" w:rsidRPr="00600CAC" w:rsidRDefault="001310DB" w:rsidP="00D737B9">
                  <w:pPr>
                    <w:pStyle w:val="Boxtext"/>
                    <w:rPr>
                      <w:rFonts w:ascii="Arial" w:hAnsi="Arial" w:cs="Arial"/>
                    </w:rPr>
                  </w:pPr>
                </w:p>
                <w:p w14:paraId="46D1F0F4" w14:textId="77777777" w:rsidR="001310DB" w:rsidRPr="00600CAC" w:rsidRDefault="001310DB" w:rsidP="00D737B9">
                  <w:pPr>
                    <w:pStyle w:val="Boxtext"/>
                    <w:rPr>
                      <w:rFonts w:ascii="Arial" w:hAnsi="Arial" w:cs="Arial"/>
                    </w:rPr>
                  </w:pPr>
                </w:p>
                <w:p w14:paraId="7F159E39" w14:textId="77777777" w:rsidR="001310DB" w:rsidRPr="00600CAC" w:rsidRDefault="001310DB" w:rsidP="00D737B9">
                  <w:pPr>
                    <w:pStyle w:val="Boxtext"/>
                    <w:rPr>
                      <w:rFonts w:ascii="Arial" w:hAnsi="Arial" w:cs="Arial"/>
                    </w:rPr>
                  </w:pPr>
                </w:p>
                <w:p w14:paraId="7B63EBE3" w14:textId="77777777" w:rsidR="001310DB" w:rsidRPr="00600CAC" w:rsidRDefault="001310DB" w:rsidP="00D737B9">
                  <w:pPr>
                    <w:pStyle w:val="Boxtext"/>
                    <w:rPr>
                      <w:rFonts w:ascii="Arial" w:hAnsi="Arial" w:cs="Arial"/>
                    </w:rPr>
                  </w:pPr>
                </w:p>
                <w:p w14:paraId="435D54FB" w14:textId="77777777" w:rsidR="001310DB" w:rsidRPr="00600CAC" w:rsidRDefault="001310DB" w:rsidP="00D737B9">
                  <w:pPr>
                    <w:pStyle w:val="Boxtext"/>
                    <w:rPr>
                      <w:rFonts w:ascii="Arial" w:hAnsi="Arial" w:cs="Arial"/>
                    </w:rPr>
                  </w:pPr>
                </w:p>
              </w:tc>
              <w:tc>
                <w:tcPr>
                  <w:tcW w:w="3855" w:type="dxa"/>
                  <w:shd w:val="clear" w:color="auto" w:fill="auto"/>
                </w:tcPr>
                <w:p w14:paraId="6E920237" w14:textId="77777777" w:rsidR="001310DB" w:rsidRPr="00600CAC" w:rsidRDefault="001310DB" w:rsidP="00D737B9">
                  <w:pPr>
                    <w:pStyle w:val="Boxtext"/>
                    <w:rPr>
                      <w:rFonts w:ascii="Arial" w:hAnsi="Arial" w:cs="Arial"/>
                    </w:rPr>
                  </w:pPr>
                </w:p>
              </w:tc>
            </w:tr>
          </w:tbl>
          <w:p w14:paraId="2EA7C83D" w14:textId="77777777" w:rsidR="001310DB" w:rsidRPr="00600CAC" w:rsidRDefault="001310DB" w:rsidP="00D737B9">
            <w:pPr>
              <w:pStyle w:val="Boxtext"/>
              <w:rPr>
                <w:rFonts w:ascii="Arial" w:hAnsi="Arial" w:cs="Arial"/>
              </w:rPr>
            </w:pPr>
            <w:r w:rsidRPr="00600CAC">
              <w:rPr>
                <w:rFonts w:ascii="Arial" w:hAnsi="Arial" w:cs="Arial"/>
              </w:rPr>
              <w:t> </w:t>
            </w:r>
            <w:bookmarkStart w:id="0" w:name="_GoBack"/>
            <w:bookmarkEnd w:id="0"/>
          </w:p>
        </w:tc>
      </w:tr>
      <w:tr w:rsidR="002B0295" w:rsidRPr="00600CAC" w14:paraId="32F0852B" w14:textId="77777777" w:rsidTr="00680850">
        <w:trPr>
          <w:cantSplit/>
        </w:trPr>
        <w:tc>
          <w:tcPr>
            <w:tcW w:w="9071" w:type="dxa"/>
            <w:gridSpan w:val="2"/>
            <w:shd w:val="clear" w:color="auto" w:fill="auto"/>
          </w:tcPr>
          <w:p w14:paraId="017623C2" w14:textId="106BDD2D" w:rsidR="002B0295" w:rsidRPr="00600CAC" w:rsidRDefault="002B0295" w:rsidP="002B0295">
            <w:pPr>
              <w:pStyle w:val="Boxtext"/>
              <w:keepNext/>
              <w:rPr>
                <w:rFonts w:ascii="Arial" w:hAnsi="Arial" w:cs="Arial"/>
                <w:i/>
                <w:sz w:val="16"/>
                <w:szCs w:val="16"/>
              </w:rPr>
            </w:pPr>
            <w:r w:rsidRPr="00600CAC">
              <w:rPr>
                <w:rFonts w:ascii="Arial" w:hAnsi="Arial" w:cs="Arial"/>
                <w:i/>
                <w:sz w:val="16"/>
                <w:szCs w:val="16"/>
              </w:rPr>
              <w:t>Note: the figures provided in the tables in sections 3.1 and 3.2 above are used to calculate the total market capitalisation of the entity published by ASX from time to time. Please make sure you include in the relevant table each class of securities issued by the entity.</w:t>
            </w:r>
          </w:p>
          <w:p w14:paraId="5C41BB1C" w14:textId="2E8C7F2B" w:rsidR="00BE2A11" w:rsidRPr="00600CAC" w:rsidRDefault="00BE2A11" w:rsidP="002B0295">
            <w:pPr>
              <w:pStyle w:val="Boxtext"/>
              <w:keepNext/>
              <w:rPr>
                <w:rFonts w:ascii="Arial" w:hAnsi="Arial" w:cs="Arial"/>
                <w:i/>
                <w:sz w:val="16"/>
                <w:szCs w:val="16"/>
              </w:rPr>
            </w:pPr>
            <w:r w:rsidRPr="00BE2A11">
              <w:rPr>
                <w:rFonts w:ascii="Arial" w:hAnsi="Arial" w:cs="Arial"/>
                <w:i/>
                <w:iCs/>
                <w:sz w:val="16"/>
                <w:szCs w:val="16"/>
              </w:rPr>
              <w:t>If you have quoted securities over which CDIs have been issued, please include the number of quoted securities expressed as CD</w:t>
            </w:r>
            <w:r>
              <w:rPr>
                <w:rFonts w:ascii="Arial" w:hAnsi="Arial" w:cs="Arial"/>
                <w:i/>
                <w:iCs/>
                <w:sz w:val="16"/>
                <w:szCs w:val="16"/>
              </w:rPr>
              <w:t xml:space="preserve">Is in the table in section </w:t>
            </w:r>
            <w:r w:rsidRPr="00BE2A11">
              <w:rPr>
                <w:rFonts w:ascii="Arial" w:hAnsi="Arial" w:cs="Arial"/>
                <w:i/>
                <w:iCs/>
                <w:sz w:val="16"/>
                <w:szCs w:val="16"/>
              </w:rPr>
              <w:t xml:space="preserve">3.1 and </w:t>
            </w:r>
            <w:r w:rsidRPr="00BE2A11">
              <w:rPr>
                <w:rFonts w:ascii="Arial" w:hAnsi="Arial" w:cs="Arial"/>
                <w:b/>
                <w:bCs/>
                <w:i/>
                <w:iCs/>
                <w:sz w:val="16"/>
                <w:szCs w:val="16"/>
              </w:rPr>
              <w:t>not</w:t>
            </w:r>
            <w:r w:rsidRPr="00BE2A11">
              <w:rPr>
                <w:rFonts w:ascii="Arial" w:hAnsi="Arial" w:cs="Arial"/>
                <w:i/>
                <w:iCs/>
                <w:sz w:val="16"/>
                <w:szCs w:val="16"/>
              </w:rPr>
              <w:t xml:space="preserve"> the number of quoted securities over which the CDIs have been issued. If some but not all of the entity’s main class of securities are quoted, you should incl</w:t>
            </w:r>
            <w:r>
              <w:rPr>
                <w:rFonts w:ascii="Arial" w:hAnsi="Arial" w:cs="Arial"/>
                <w:i/>
                <w:iCs/>
                <w:sz w:val="16"/>
                <w:szCs w:val="16"/>
              </w:rPr>
              <w:t xml:space="preserve">ude in the table in section </w:t>
            </w:r>
            <w:r w:rsidRPr="00BE2A11">
              <w:rPr>
                <w:rFonts w:ascii="Arial" w:hAnsi="Arial" w:cs="Arial"/>
                <w:i/>
                <w:iCs/>
                <w:sz w:val="16"/>
                <w:szCs w:val="16"/>
              </w:rPr>
              <w:t>3.2 any unquoted securities in that class</w:t>
            </w:r>
            <w:r>
              <w:rPr>
                <w:rFonts w:ascii="Arial" w:hAnsi="Arial" w:cs="Arial"/>
                <w:i/>
                <w:iCs/>
                <w:sz w:val="16"/>
                <w:szCs w:val="16"/>
              </w:rPr>
              <w:t>.</w:t>
            </w:r>
          </w:p>
          <w:p w14:paraId="42903FE8" w14:textId="257F81F9" w:rsidR="002B0295" w:rsidRPr="00600CAC" w:rsidRDefault="002B0295" w:rsidP="002B0295">
            <w:pPr>
              <w:pStyle w:val="Boxtext"/>
              <w:rPr>
                <w:rFonts w:ascii="Arial" w:hAnsi="Arial" w:cs="Arial"/>
              </w:rPr>
            </w:pPr>
            <w:r w:rsidRPr="00600CAC">
              <w:rPr>
                <w:rFonts w:ascii="Arial" w:hAnsi="Arial" w:cs="Arial"/>
                <w:i/>
                <w:sz w:val="16"/>
                <w:szCs w:val="16"/>
              </w:rPr>
              <w:t>Restricted securities should only be included in the table in section 3.1 if you are applying to have them quoted because the escrow period for the securities has expired or is about to expire. Otherwise include them in the table in section 3.2.</w:t>
            </w:r>
          </w:p>
        </w:tc>
      </w:tr>
    </w:tbl>
    <w:p w14:paraId="6E221FAB" w14:textId="2F4580A0" w:rsidR="00BF230A" w:rsidRPr="0012637E" w:rsidRDefault="00BF230A" w:rsidP="001314D6">
      <w:pPr>
        <w:pStyle w:val="Introduced0"/>
        <w:spacing w:before="120"/>
      </w:pPr>
      <w:r w:rsidRPr="00600CAC">
        <w:t xml:space="preserve">Introduced </w:t>
      </w:r>
      <w:r w:rsidR="0012637E" w:rsidRPr="00600CAC">
        <w:t>05/06/21</w:t>
      </w:r>
      <w:r w:rsidR="001B36B2">
        <w:t xml:space="preserve">; amended </w:t>
      </w:r>
      <w:r w:rsidR="00C20675">
        <w:t>05/02/24</w:t>
      </w:r>
    </w:p>
    <w:sectPr w:rsidR="00BF230A" w:rsidRPr="0012637E" w:rsidSect="00497B76">
      <w:headerReference w:type="even" r:id="rId16"/>
      <w:headerReference w:type="default" r:id="rId17"/>
      <w:footerReference w:type="even" r:id="rId18"/>
      <w:footerReference w:type="default" r:id="rId19"/>
      <w:headerReference w:type="first" r:id="rId20"/>
      <w:footerReference w:type="first" r:id="rId21"/>
      <w:pgSz w:w="11907" w:h="16840" w:code="9"/>
      <w:pgMar w:top="1440" w:right="1411" w:bottom="1138"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CEC2" w14:textId="77777777" w:rsidR="009872B8" w:rsidRDefault="009872B8">
      <w:r>
        <w:separator/>
      </w:r>
    </w:p>
  </w:endnote>
  <w:endnote w:type="continuationSeparator" w:id="0">
    <w:p w14:paraId="4863AE61" w14:textId="77777777" w:rsidR="009872B8" w:rsidRDefault="009872B8">
      <w:r>
        <w:continuationSeparator/>
      </w:r>
    </w:p>
  </w:endnote>
  <w:endnote w:type="continuationNotice" w:id="1">
    <w:p w14:paraId="4357927B" w14:textId="77777777" w:rsidR="009872B8" w:rsidRDefault="009872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9703" w14:textId="77777777" w:rsidR="004F6BF4" w:rsidRPr="00EA08BB" w:rsidRDefault="004F6BF4" w:rsidP="0050175E">
    <w:pPr>
      <w:pStyle w:val="Footer"/>
      <w:pBdr>
        <w:top w:val="single" w:sz="4" w:space="1" w:color="auto"/>
      </w:pBdr>
    </w:pPr>
    <w:r>
      <w:t xml:space="preserve">+ </w:t>
    </w:r>
    <w:r w:rsidRPr="004B4C5B">
      <w:t>See chapter 19 for defined terms</w:t>
    </w:r>
  </w:p>
  <w:p w14:paraId="7EF83AA8" w14:textId="586B9110" w:rsidR="004F6BF4" w:rsidRDefault="0012637E" w:rsidP="0050175E">
    <w:pPr>
      <w:pStyle w:val="Footer"/>
      <w:ind w:right="360"/>
    </w:pPr>
    <w:r w:rsidRPr="00261495">
      <w:rPr>
        <w:color w:val="000000" w:themeColor="text1"/>
      </w:rPr>
      <w:t>5 June 2021</w:t>
    </w:r>
    <w:r w:rsidR="004F6BF4">
      <w:tab/>
    </w:r>
    <w:r w:rsidR="004F6BF4">
      <w:tab/>
      <w:t xml:space="preserve">Page </w:t>
    </w:r>
    <w:r w:rsidR="004F6BF4">
      <w:rPr>
        <w:rStyle w:val="PageNumber"/>
      </w:rPr>
      <w:fldChar w:fldCharType="begin"/>
    </w:r>
    <w:r w:rsidR="004F6BF4">
      <w:rPr>
        <w:rStyle w:val="PageNumber"/>
      </w:rPr>
      <w:instrText xml:space="preserve"> PAGE </w:instrText>
    </w:r>
    <w:r w:rsidR="004F6BF4">
      <w:rPr>
        <w:rStyle w:val="PageNumber"/>
      </w:rPr>
      <w:fldChar w:fldCharType="separate"/>
    </w:r>
    <w:r w:rsidR="00261495">
      <w:rPr>
        <w:rStyle w:val="PageNumber"/>
        <w:noProof/>
      </w:rPr>
      <w:t>2</w:t>
    </w:r>
    <w:r w:rsidR="004F6BF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0B06" w14:textId="77777777" w:rsidR="004F6BF4" w:rsidRPr="00EA08BB" w:rsidRDefault="004F6BF4" w:rsidP="0050175E">
    <w:pPr>
      <w:pStyle w:val="Footer"/>
      <w:pBdr>
        <w:top w:val="single" w:sz="4" w:space="1" w:color="auto"/>
      </w:pBdr>
    </w:pPr>
    <w:r>
      <w:t xml:space="preserve">+ </w:t>
    </w:r>
    <w:r w:rsidRPr="004B4C5B">
      <w:t>See chapter 19 for defined terms</w:t>
    </w:r>
  </w:p>
  <w:p w14:paraId="4B6CD4F9" w14:textId="37336204" w:rsidR="004F6BF4" w:rsidRDefault="00A42DCD" w:rsidP="001314D6">
    <w:pPr>
      <w:pStyle w:val="Footer"/>
      <w:ind w:right="360"/>
    </w:pPr>
    <w:r>
      <w:rPr>
        <w:i/>
        <w:color w:val="000000" w:themeColor="text1"/>
      </w:rPr>
      <w:t xml:space="preserve"> </w:t>
    </w:r>
    <w:r w:rsidRPr="00A42DCD">
      <w:rPr>
        <w:i/>
        <w:color w:val="000000" w:themeColor="text1"/>
      </w:rPr>
      <w:t>5 February 2024</w:t>
    </w:r>
    <w:r w:rsidR="004F6BF4">
      <w:tab/>
    </w:r>
    <w:r w:rsidR="004F6BF4">
      <w:tab/>
      <w:t xml:space="preserve">Page </w:t>
    </w:r>
    <w:r w:rsidR="004F6BF4">
      <w:rPr>
        <w:rStyle w:val="PageNumber"/>
      </w:rPr>
      <w:fldChar w:fldCharType="begin"/>
    </w:r>
    <w:r w:rsidR="004F6BF4">
      <w:rPr>
        <w:rStyle w:val="PageNumber"/>
      </w:rPr>
      <w:instrText xml:space="preserve"> PAGE </w:instrText>
    </w:r>
    <w:r w:rsidR="004F6BF4">
      <w:rPr>
        <w:rStyle w:val="PageNumber"/>
      </w:rPr>
      <w:fldChar w:fldCharType="separate"/>
    </w:r>
    <w:r w:rsidR="00CC26F0">
      <w:rPr>
        <w:rStyle w:val="PageNumber"/>
        <w:noProof/>
      </w:rPr>
      <w:t>1</w:t>
    </w:r>
    <w:r w:rsidR="004F6BF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288C" w14:textId="77777777" w:rsidR="00261495" w:rsidRDefault="002614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4E49" w14:textId="77777777" w:rsidR="004F6BF4" w:rsidRPr="00EA08BB" w:rsidRDefault="004F6BF4" w:rsidP="004B4C5B">
    <w:pPr>
      <w:pStyle w:val="Footer"/>
      <w:pBdr>
        <w:top w:val="single" w:sz="4" w:space="1" w:color="auto"/>
      </w:pBdr>
    </w:pPr>
    <w:r>
      <w:t xml:space="preserve">+ </w:t>
    </w:r>
    <w:r w:rsidRPr="004B4C5B">
      <w:t>See chapter 19 for defined terms</w:t>
    </w:r>
  </w:p>
  <w:p w14:paraId="04AB2169" w14:textId="454E4B8F" w:rsidR="004F6BF4" w:rsidRDefault="00A42DCD" w:rsidP="0055625E">
    <w:pPr>
      <w:pStyle w:val="Footer"/>
      <w:ind w:right="360"/>
    </w:pPr>
    <w:r w:rsidRPr="00A42DCD">
      <w:rPr>
        <w:i/>
        <w:color w:val="000000" w:themeColor="text1"/>
      </w:rPr>
      <w:t>5 February 2024</w:t>
    </w:r>
    <w:r w:rsidR="004F6BF4">
      <w:tab/>
    </w:r>
    <w:r w:rsidR="004F6BF4">
      <w:tab/>
      <w:t xml:space="preserve">Page </w:t>
    </w:r>
    <w:r w:rsidR="004F6BF4">
      <w:rPr>
        <w:rStyle w:val="PageNumber"/>
      </w:rPr>
      <w:fldChar w:fldCharType="begin"/>
    </w:r>
    <w:r w:rsidR="004F6BF4">
      <w:rPr>
        <w:rStyle w:val="PageNumber"/>
      </w:rPr>
      <w:instrText xml:space="preserve"> PAGE </w:instrText>
    </w:r>
    <w:r w:rsidR="004F6BF4">
      <w:rPr>
        <w:rStyle w:val="PageNumber"/>
      </w:rPr>
      <w:fldChar w:fldCharType="separate"/>
    </w:r>
    <w:r w:rsidR="00CC26F0">
      <w:rPr>
        <w:rStyle w:val="PageNumber"/>
        <w:noProof/>
      </w:rPr>
      <w:t>4</w:t>
    </w:r>
    <w:r w:rsidR="004F6BF4">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80AB" w14:textId="77777777" w:rsidR="00261495" w:rsidRDefault="00261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CA40" w14:textId="77777777" w:rsidR="009872B8" w:rsidRDefault="009872B8">
      <w:r>
        <w:separator/>
      </w:r>
    </w:p>
  </w:footnote>
  <w:footnote w:type="continuationSeparator" w:id="0">
    <w:p w14:paraId="6106F771" w14:textId="77777777" w:rsidR="009872B8" w:rsidRDefault="009872B8">
      <w:r>
        <w:continuationSeparator/>
      </w:r>
    </w:p>
  </w:footnote>
  <w:footnote w:type="continuationNotice" w:id="1">
    <w:p w14:paraId="7E43FF52" w14:textId="77777777" w:rsidR="009872B8" w:rsidRDefault="009872B8">
      <w:pPr>
        <w:spacing w:before="0" w:after="0"/>
      </w:pPr>
    </w:p>
  </w:footnote>
  <w:footnote w:id="2">
    <w:p w14:paraId="00D3EE30" w14:textId="70EE15FD" w:rsidR="0097531E" w:rsidRPr="00600CAC" w:rsidRDefault="004F6BF4" w:rsidP="00CC00C7">
      <w:pPr>
        <w:keepNext/>
        <w:tabs>
          <w:tab w:val="clear" w:pos="851"/>
          <w:tab w:val="left" w:pos="284"/>
        </w:tabs>
        <w:spacing w:before="0" w:after="60"/>
        <w:ind w:left="284" w:hanging="284"/>
        <w:rPr>
          <w:rFonts w:cs="Arial"/>
          <w:sz w:val="16"/>
          <w:szCs w:val="16"/>
        </w:rPr>
      </w:pPr>
      <w:r w:rsidRPr="00600CAC">
        <w:rPr>
          <w:rStyle w:val="FootnoteReference"/>
        </w:rPr>
        <w:footnoteRef/>
      </w:r>
      <w:r w:rsidR="0097531E" w:rsidRPr="00600CAC">
        <w:tab/>
      </w:r>
      <w:r w:rsidRPr="00600CAC">
        <w:rPr>
          <w:rFonts w:cs="Arial"/>
          <w:sz w:val="16"/>
          <w:szCs w:val="16"/>
        </w:rPr>
        <w:t xml:space="preserve">Listing rule 3.10.3E requires an entity to </w:t>
      </w:r>
      <w:r w:rsidR="0097531E" w:rsidRPr="00600CAC">
        <w:rPr>
          <w:rFonts w:cs="Arial"/>
          <w:sz w:val="16"/>
          <w:szCs w:val="16"/>
        </w:rPr>
        <w:t>notify ASX of details of the cessation of:</w:t>
      </w:r>
    </w:p>
    <w:p w14:paraId="5CDD5BFE" w14:textId="5635D056" w:rsidR="0097531E" w:rsidRPr="00600CAC" w:rsidRDefault="0097531E" w:rsidP="00CC00C7">
      <w:pPr>
        <w:pStyle w:val="Bullet2"/>
        <w:spacing w:before="0" w:after="60"/>
        <w:ind w:left="567" w:hanging="283"/>
        <w:rPr>
          <w:rFonts w:cs="Arial"/>
          <w:sz w:val="16"/>
          <w:szCs w:val="16"/>
        </w:rPr>
      </w:pPr>
      <w:r w:rsidRPr="00600CAC">
        <w:rPr>
          <w:rFonts w:cs="Arial"/>
          <w:sz w:val="16"/>
          <w:szCs w:val="16"/>
        </w:rPr>
        <w:t>(a)</w:t>
      </w:r>
      <w:r w:rsidRPr="00600CAC">
        <w:rPr>
          <w:rFonts w:cs="Arial"/>
          <w:sz w:val="16"/>
          <w:szCs w:val="16"/>
        </w:rPr>
        <w:tab/>
        <w:t>any securities issued under an employee incentive scheme:</w:t>
      </w:r>
    </w:p>
    <w:p w14:paraId="331F0301" w14:textId="5DD6C0A5" w:rsidR="0097531E" w:rsidRPr="00600CAC" w:rsidRDefault="0097531E" w:rsidP="00CC00C7">
      <w:pPr>
        <w:pStyle w:val="Clause2"/>
        <w:spacing w:before="0" w:after="60"/>
        <w:ind w:left="851" w:hanging="284"/>
        <w:rPr>
          <w:rFonts w:cs="Arial"/>
          <w:sz w:val="16"/>
          <w:szCs w:val="16"/>
        </w:rPr>
      </w:pPr>
      <w:r w:rsidRPr="00600CAC">
        <w:rPr>
          <w:rFonts w:cs="Arial"/>
          <w:sz w:val="16"/>
          <w:szCs w:val="16"/>
        </w:rPr>
        <w:t>(</w:t>
      </w:r>
      <w:proofErr w:type="spellStart"/>
      <w:r w:rsidRPr="00600CAC">
        <w:rPr>
          <w:rFonts w:cs="Arial"/>
          <w:sz w:val="16"/>
          <w:szCs w:val="16"/>
        </w:rPr>
        <w:t>i</w:t>
      </w:r>
      <w:proofErr w:type="spellEnd"/>
      <w:r w:rsidRPr="00600CAC">
        <w:rPr>
          <w:rFonts w:cs="Arial"/>
          <w:sz w:val="16"/>
          <w:szCs w:val="16"/>
        </w:rPr>
        <w:t>)</w:t>
      </w:r>
      <w:r w:rsidRPr="00600CAC">
        <w:rPr>
          <w:rFonts w:cs="Arial"/>
          <w:sz w:val="16"/>
          <w:szCs w:val="16"/>
        </w:rPr>
        <w:tab/>
        <w:t>to key management personnel or an associate, within 5 business days of their cessation;</w:t>
      </w:r>
    </w:p>
    <w:p w14:paraId="47C30E23" w14:textId="68C81DE1" w:rsidR="0097531E" w:rsidRPr="00600CAC" w:rsidRDefault="0097531E" w:rsidP="00CC00C7">
      <w:pPr>
        <w:pStyle w:val="Clause2"/>
        <w:spacing w:before="0" w:after="60"/>
        <w:ind w:left="851" w:hanging="284"/>
        <w:rPr>
          <w:rFonts w:cs="Arial"/>
          <w:sz w:val="16"/>
          <w:szCs w:val="16"/>
        </w:rPr>
      </w:pPr>
      <w:r w:rsidRPr="00600CAC">
        <w:rPr>
          <w:rFonts w:cs="Arial"/>
          <w:sz w:val="16"/>
          <w:szCs w:val="16"/>
        </w:rPr>
        <w:t>(ii)</w:t>
      </w:r>
      <w:r w:rsidRPr="00600CAC">
        <w:rPr>
          <w:rFonts w:cs="Arial"/>
          <w:sz w:val="16"/>
          <w:szCs w:val="16"/>
        </w:rPr>
        <w:tab/>
        <w:t>to someone who is not key management personnel or an associate, within 10 business days of the end of the quarter in which the cessation occurred;</w:t>
      </w:r>
    </w:p>
    <w:p w14:paraId="21022737" w14:textId="3C440D64" w:rsidR="0097531E" w:rsidRPr="00600CAC" w:rsidRDefault="0097531E" w:rsidP="00CC00C7">
      <w:pPr>
        <w:pStyle w:val="Bullet2"/>
        <w:spacing w:before="0" w:after="60"/>
        <w:ind w:left="567" w:hanging="283"/>
        <w:rPr>
          <w:rFonts w:cs="Arial"/>
          <w:sz w:val="16"/>
          <w:szCs w:val="16"/>
        </w:rPr>
      </w:pPr>
      <w:r w:rsidRPr="00600CAC">
        <w:rPr>
          <w:rFonts w:cs="Arial"/>
          <w:sz w:val="16"/>
          <w:szCs w:val="16"/>
        </w:rPr>
        <w:t>(b)</w:t>
      </w:r>
      <w:r w:rsidRPr="00600CAC">
        <w:rPr>
          <w:rFonts w:cs="Arial"/>
          <w:sz w:val="16"/>
          <w:szCs w:val="16"/>
        </w:rPr>
        <w:tab/>
        <w:t>any other equity securities not otherwise notifiable to ASX under rule 3.8A, within 5 business days of their cessation; or</w:t>
      </w:r>
    </w:p>
    <w:p w14:paraId="6AA71BEE" w14:textId="0F00E1AC" w:rsidR="0097531E" w:rsidRPr="00600CAC" w:rsidRDefault="0097531E" w:rsidP="00CC00C7">
      <w:pPr>
        <w:pStyle w:val="Bullet2"/>
        <w:spacing w:before="60" w:after="60"/>
        <w:ind w:left="567" w:hanging="283"/>
        <w:rPr>
          <w:rFonts w:cs="Arial"/>
          <w:sz w:val="16"/>
          <w:szCs w:val="16"/>
        </w:rPr>
      </w:pPr>
      <w:r w:rsidRPr="00600CAC">
        <w:rPr>
          <w:rFonts w:cs="Arial"/>
          <w:sz w:val="16"/>
          <w:szCs w:val="16"/>
        </w:rPr>
        <w:t>(c)</w:t>
      </w:r>
      <w:r w:rsidRPr="00600CAC">
        <w:rPr>
          <w:rFonts w:cs="Arial"/>
          <w:sz w:val="16"/>
          <w:szCs w:val="16"/>
        </w:rPr>
        <w:tab/>
      </w:r>
      <w:proofErr w:type="gramStart"/>
      <w:r w:rsidRPr="00600CAC">
        <w:rPr>
          <w:rFonts w:cs="Arial"/>
          <w:sz w:val="16"/>
          <w:szCs w:val="16"/>
        </w:rPr>
        <w:t>any</w:t>
      </w:r>
      <w:proofErr w:type="gramEnd"/>
      <w:r w:rsidRPr="00600CAC">
        <w:rPr>
          <w:rFonts w:cs="Arial"/>
          <w:sz w:val="16"/>
          <w:szCs w:val="16"/>
        </w:rPr>
        <w:t xml:space="preserve"> quoted debt securities, within 5 business days of their cessation.</w:t>
      </w:r>
    </w:p>
    <w:p w14:paraId="27E76715" w14:textId="77777777" w:rsidR="0097531E" w:rsidRPr="00600CAC" w:rsidRDefault="0097531E" w:rsidP="00CC00C7">
      <w:pPr>
        <w:pStyle w:val="Bullet2"/>
        <w:spacing w:before="60" w:after="60"/>
        <w:ind w:left="284" w:firstLine="0"/>
        <w:rPr>
          <w:rFonts w:cs="Arial"/>
          <w:sz w:val="16"/>
          <w:szCs w:val="16"/>
        </w:rPr>
      </w:pPr>
      <w:r w:rsidRPr="00600CAC">
        <w:rPr>
          <w:rFonts w:cs="Arial"/>
          <w:sz w:val="16"/>
          <w:szCs w:val="16"/>
        </w:rPr>
        <w:t>The notification must be in the form of, or accompanied by, an Appendix 3H.</w:t>
      </w:r>
    </w:p>
    <w:p w14:paraId="0D0FEDC4" w14:textId="641B95D0" w:rsidR="00CC00C7" w:rsidRPr="00600CAC" w:rsidRDefault="0097531E" w:rsidP="00CC00C7">
      <w:pPr>
        <w:tabs>
          <w:tab w:val="clear" w:pos="851"/>
        </w:tabs>
        <w:spacing w:before="60" w:after="60"/>
        <w:ind w:left="284"/>
        <w:rPr>
          <w:rFonts w:cs="Arial"/>
          <w:sz w:val="16"/>
          <w:szCs w:val="16"/>
        </w:rPr>
      </w:pPr>
      <w:r w:rsidRPr="00600CAC">
        <w:rPr>
          <w:rFonts w:cs="Arial"/>
          <w:sz w:val="16"/>
          <w:szCs w:val="16"/>
        </w:rPr>
        <w:t>Listing rule 3.8A requires an entity to notify ASX of the cessation of securities pursuant to a buy-back</w:t>
      </w:r>
      <w:r w:rsidR="00CC00C7" w:rsidRPr="00600CAC">
        <w:rPr>
          <w:rFonts w:cs="Arial"/>
          <w:sz w:val="16"/>
          <w:szCs w:val="16"/>
        </w:rPr>
        <w:t xml:space="preserve"> by giving ASX an Appendix 3H:</w:t>
      </w:r>
    </w:p>
    <w:p w14:paraId="54DF18EB" w14:textId="77D584A8" w:rsidR="00CC00C7" w:rsidRPr="00600CAC" w:rsidRDefault="00CC00C7" w:rsidP="00CC00C7">
      <w:pPr>
        <w:tabs>
          <w:tab w:val="clear" w:pos="851"/>
        </w:tabs>
        <w:spacing w:before="60" w:after="60"/>
        <w:ind w:left="567" w:hanging="283"/>
        <w:rPr>
          <w:rFonts w:cs="Arial"/>
          <w:sz w:val="16"/>
          <w:szCs w:val="16"/>
        </w:rPr>
      </w:pPr>
      <w:r w:rsidRPr="00600CAC">
        <w:rPr>
          <w:rFonts w:cs="Arial"/>
          <w:sz w:val="16"/>
          <w:szCs w:val="16"/>
        </w:rPr>
        <w:t>•</w:t>
      </w:r>
      <w:r w:rsidRPr="00600CAC">
        <w:rPr>
          <w:rFonts w:cs="Arial"/>
          <w:sz w:val="16"/>
          <w:szCs w:val="16"/>
        </w:rPr>
        <w:tab/>
        <w:t>in the case of a minimum holding buy-back, within 5 business days of the completion of the buyback; or</w:t>
      </w:r>
    </w:p>
    <w:p w14:paraId="5E18D20A" w14:textId="61A556D4" w:rsidR="00261495" w:rsidRPr="00836BDC" w:rsidRDefault="00CC00C7" w:rsidP="00261495">
      <w:pPr>
        <w:tabs>
          <w:tab w:val="clear" w:pos="851"/>
        </w:tabs>
        <w:spacing w:before="60" w:after="60"/>
        <w:ind w:left="567" w:hanging="283"/>
        <w:rPr>
          <w:rFonts w:cs="Arial"/>
          <w:sz w:val="16"/>
          <w:szCs w:val="16"/>
        </w:rPr>
      </w:pPr>
      <w:r w:rsidRPr="00600CAC">
        <w:rPr>
          <w:rFonts w:cs="Arial"/>
          <w:sz w:val="16"/>
          <w:szCs w:val="16"/>
        </w:rPr>
        <w:t>•</w:t>
      </w:r>
      <w:r w:rsidRPr="00600CAC">
        <w:rPr>
          <w:rFonts w:cs="Arial"/>
          <w:sz w:val="16"/>
          <w:szCs w:val="16"/>
        </w:rPr>
        <w:tab/>
      </w:r>
      <w:proofErr w:type="gramStart"/>
      <w:r w:rsidRPr="00600CAC">
        <w:rPr>
          <w:rFonts w:cs="Arial"/>
          <w:sz w:val="16"/>
          <w:szCs w:val="16"/>
        </w:rPr>
        <w:t>in</w:t>
      </w:r>
      <w:proofErr w:type="gramEnd"/>
      <w:r w:rsidRPr="00600CAC">
        <w:rPr>
          <w:rFonts w:cs="Arial"/>
          <w:sz w:val="16"/>
          <w:szCs w:val="16"/>
        </w:rPr>
        <w:t xml:space="preserve"> all other cases, within 5 business days of giving ASX the final notice for the buy-back.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EA08" w14:textId="059FFEB4" w:rsidR="004F6BF4" w:rsidRPr="004B4C5B" w:rsidRDefault="004F6BF4" w:rsidP="005547B2">
    <w:pPr>
      <w:pStyle w:val="PageHeader"/>
    </w:pPr>
    <w:r w:rsidRPr="00D35EAD">
      <w:t xml:space="preserve">This </w:t>
    </w:r>
    <w:r>
      <w:t>appendix is available as an online form</w:t>
    </w:r>
    <w:r>
      <w:rPr>
        <w:rFonts w:ascii="Zurich Cn BT" w:hAnsi="Zurich Cn BT"/>
        <w:color w:val="FF0000"/>
        <w:sz w:val="36"/>
        <w:szCs w:val="36"/>
      </w:rPr>
      <w:tab/>
    </w:r>
    <w:r>
      <w:t xml:space="preserve">Appendix </w:t>
    </w:r>
    <w:r w:rsidR="00BA34E3">
      <w:t>3H</w:t>
    </w:r>
  </w:p>
  <w:p w14:paraId="1415DCC5" w14:textId="727B518A" w:rsidR="004F6BF4" w:rsidRDefault="004F6BF4" w:rsidP="0053494B">
    <w:pPr>
      <w:pStyle w:val="PageHeader"/>
    </w:pPr>
    <w:r w:rsidRPr="004B4C5B">
      <w:tab/>
    </w:r>
    <w:r w:rsidR="00BA34E3">
      <w:t>Notification of cessation of +securities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0568" w14:textId="77777777" w:rsidR="004F6BF4" w:rsidRPr="001314D6" w:rsidRDefault="004F6BF4" w:rsidP="001314D6">
    <w:pPr>
      <w:pStyle w:val="Header"/>
      <w:tabs>
        <w:tab w:val="clear" w:pos="851"/>
        <w:tab w:val="clear" w:pos="4320"/>
        <w:tab w:val="clear" w:pos="8640"/>
        <w:tab w:val="center" w:pos="4536"/>
        <w:tab w:val="right" w:pos="9071"/>
      </w:tabs>
      <w:spacing w:before="0" w:after="0"/>
      <w:rPr>
        <w:b/>
      </w:rPr>
    </w:pPr>
    <w:r w:rsidRPr="001314D6">
      <w:rPr>
        <w:b/>
      </w:rPr>
      <w:t>This appendix is available as an online form</w:t>
    </w:r>
  </w:p>
  <w:p w14:paraId="79E845F0" w14:textId="4D52F843" w:rsidR="004F6BF4" w:rsidRPr="009B0F16" w:rsidRDefault="004F6BF4" w:rsidP="001314D6">
    <w:pPr>
      <w:pStyle w:val="Header"/>
      <w:pBdr>
        <w:bottom w:val="single" w:sz="4" w:space="1" w:color="auto"/>
      </w:pBdr>
      <w:tabs>
        <w:tab w:val="clear" w:pos="851"/>
        <w:tab w:val="clear" w:pos="4320"/>
        <w:tab w:val="clear" w:pos="8640"/>
        <w:tab w:val="center" w:pos="4536"/>
        <w:tab w:val="right" w:pos="9071"/>
      </w:tabs>
      <w:spacing w:before="0" w:after="0"/>
      <w:rPr>
        <w:i/>
      </w:rPr>
    </w:pPr>
    <w:r w:rsidRPr="001314D6">
      <w:rPr>
        <w:b/>
      </w:rPr>
      <w:t>Only use this form i</w:t>
    </w:r>
    <w:r>
      <w:rPr>
        <w:b/>
      </w:rPr>
      <w:t>f</w:t>
    </w:r>
    <w:r w:rsidRPr="001314D6">
      <w:rPr>
        <w:b/>
      </w:rPr>
      <w:t xml:space="preserve"> the online version is not available</w:t>
    </w:r>
    <w:r>
      <w:tab/>
    </w:r>
    <w:r w:rsidRPr="006F0F69">
      <w:rPr>
        <w:i/>
      </w:rPr>
      <w:t xml:space="preserve">Rule </w:t>
    </w:r>
    <w:r>
      <w:rPr>
        <w:i/>
      </w:rPr>
      <w:t>3.10.3E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6AC4" w14:textId="77777777" w:rsidR="004F6BF4" w:rsidRDefault="004F6B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C3E5" w14:textId="77777777" w:rsidR="004F6BF4" w:rsidRPr="004B4C5B" w:rsidRDefault="004F6BF4" w:rsidP="00497B76">
    <w:pPr>
      <w:pStyle w:val="PageHeader"/>
    </w:pPr>
    <w:r w:rsidRPr="00D35EAD">
      <w:t xml:space="preserve">This </w:t>
    </w:r>
    <w:r>
      <w:t>appendix is available as an online form</w:t>
    </w:r>
    <w:r>
      <w:rPr>
        <w:rFonts w:ascii="Zurich Cn BT" w:hAnsi="Zurich Cn BT"/>
        <w:color w:val="FF0000"/>
        <w:sz w:val="36"/>
        <w:szCs w:val="36"/>
      </w:rPr>
      <w:tab/>
    </w:r>
    <w:r>
      <w:t>Appendix 3H</w:t>
    </w:r>
  </w:p>
  <w:p w14:paraId="04C10C3A" w14:textId="50AC8C35" w:rsidR="004F6BF4" w:rsidRPr="009B0F16" w:rsidRDefault="004F6BF4" w:rsidP="00497B76">
    <w:pPr>
      <w:pStyle w:val="PageHeader"/>
      <w:rPr>
        <w:rFonts w:ascii="Arial Bold" w:hAnsi="Arial Bold"/>
      </w:rPr>
    </w:pPr>
    <w:r w:rsidRPr="004B4C5B">
      <w:tab/>
    </w:r>
    <w:r w:rsidRPr="009B0F16">
      <w:rPr>
        <w:rFonts w:ascii="Arial Bold" w:hAnsi="Arial Bold"/>
      </w:rPr>
      <w:t>Notification of cessation of securities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AB94" w14:textId="77777777" w:rsidR="004F6BF4" w:rsidRDefault="004F6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8E1D7C"/>
    <w:lvl w:ilvl="0">
      <w:numFmt w:val="decimal"/>
      <w:lvlText w:val="*"/>
      <w:lvlJc w:val="left"/>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7A0059"/>
    <w:multiLevelType w:val="hybridMultilevel"/>
    <w:tmpl w:val="F9B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1F6EE2"/>
    <w:multiLevelType w:val="hybridMultilevel"/>
    <w:tmpl w:val="76367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3"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4"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E8A37F1"/>
    <w:multiLevelType w:val="hybridMultilevel"/>
    <w:tmpl w:val="A644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6CCF11DF"/>
    <w:multiLevelType w:val="hybridMultilevel"/>
    <w:tmpl w:val="4A503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C43A04"/>
    <w:multiLevelType w:val="hybridMultilevel"/>
    <w:tmpl w:val="60A86228"/>
    <w:lvl w:ilvl="0" w:tplc="ECBEC8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2"/>
  </w:num>
  <w:num w:numId="2">
    <w:abstractNumId w:val="51"/>
  </w:num>
  <w:num w:numId="3">
    <w:abstractNumId w:val="43"/>
  </w:num>
  <w:num w:numId="4">
    <w:abstractNumId w:val="61"/>
  </w:num>
  <w:num w:numId="5">
    <w:abstractNumId w:val="54"/>
  </w:num>
  <w:num w:numId="6">
    <w:abstractNumId w:val="44"/>
  </w:num>
  <w:num w:numId="7">
    <w:abstractNumId w:val="21"/>
  </w:num>
  <w:num w:numId="8">
    <w:abstractNumId w:val="8"/>
  </w:num>
  <w:num w:numId="9">
    <w:abstractNumId w:val="22"/>
  </w:num>
  <w:num w:numId="10">
    <w:abstractNumId w:val="9"/>
  </w:num>
  <w:num w:numId="11">
    <w:abstractNumId w:val="5"/>
  </w:num>
  <w:num w:numId="12">
    <w:abstractNumId w:val="49"/>
  </w:num>
  <w:num w:numId="13">
    <w:abstractNumId w:val="47"/>
  </w:num>
  <w:num w:numId="14">
    <w:abstractNumId w:val="18"/>
  </w:num>
  <w:num w:numId="15">
    <w:abstractNumId w:val="16"/>
  </w:num>
  <w:num w:numId="16">
    <w:abstractNumId w:val="29"/>
  </w:num>
  <w:num w:numId="17">
    <w:abstractNumId w:val="11"/>
  </w:num>
  <w:num w:numId="18">
    <w:abstractNumId w:val="41"/>
  </w:num>
  <w:num w:numId="19">
    <w:abstractNumId w:val="67"/>
  </w:num>
  <w:num w:numId="20">
    <w:abstractNumId w:val="14"/>
  </w:num>
  <w:num w:numId="21">
    <w:abstractNumId w:val="34"/>
  </w:num>
  <w:num w:numId="22">
    <w:abstractNumId w:val="12"/>
  </w:num>
  <w:num w:numId="23">
    <w:abstractNumId w:val="4"/>
  </w:num>
  <w:num w:numId="24">
    <w:abstractNumId w:val="45"/>
  </w:num>
  <w:num w:numId="25">
    <w:abstractNumId w:val="27"/>
  </w:num>
  <w:num w:numId="26">
    <w:abstractNumId w:val="30"/>
  </w:num>
  <w:num w:numId="27">
    <w:abstractNumId w:val="10"/>
  </w:num>
  <w:num w:numId="28">
    <w:abstractNumId w:val="19"/>
  </w:num>
  <w:num w:numId="29">
    <w:abstractNumId w:val="40"/>
  </w:num>
  <w:num w:numId="30">
    <w:abstractNumId w:val="15"/>
  </w:num>
  <w:num w:numId="31">
    <w:abstractNumId w:val="65"/>
  </w:num>
  <w:num w:numId="32">
    <w:abstractNumId w:val="38"/>
  </w:num>
  <w:num w:numId="33">
    <w:abstractNumId w:val="3"/>
  </w:num>
  <w:num w:numId="34">
    <w:abstractNumId w:val="24"/>
  </w:num>
  <w:num w:numId="35">
    <w:abstractNumId w:val="64"/>
  </w:num>
  <w:num w:numId="36">
    <w:abstractNumId w:val="50"/>
  </w:num>
  <w:num w:numId="37">
    <w:abstractNumId w:val="20"/>
  </w:num>
  <w:num w:numId="38">
    <w:abstractNumId w:val="35"/>
  </w:num>
  <w:num w:numId="39">
    <w:abstractNumId w:val="2"/>
  </w:num>
  <w:num w:numId="40">
    <w:abstractNumId w:val="52"/>
  </w:num>
  <w:num w:numId="41">
    <w:abstractNumId w:val="33"/>
  </w:num>
  <w:num w:numId="42">
    <w:abstractNumId w:val="53"/>
  </w:num>
  <w:num w:numId="43">
    <w:abstractNumId w:val="28"/>
  </w:num>
  <w:num w:numId="44">
    <w:abstractNumId w:val="63"/>
  </w:num>
  <w:num w:numId="45">
    <w:abstractNumId w:val="25"/>
  </w:num>
  <w:num w:numId="46">
    <w:abstractNumId w:val="36"/>
  </w:num>
  <w:num w:numId="47">
    <w:abstractNumId w:val="23"/>
  </w:num>
  <w:num w:numId="48">
    <w:abstractNumId w:val="13"/>
  </w:num>
  <w:num w:numId="49">
    <w:abstractNumId w:val="56"/>
  </w:num>
  <w:num w:numId="50">
    <w:abstractNumId w:val="31"/>
  </w:num>
  <w:num w:numId="51">
    <w:abstractNumId w:val="39"/>
  </w:num>
  <w:num w:numId="52">
    <w:abstractNumId w:val="1"/>
  </w:num>
  <w:num w:numId="53">
    <w:abstractNumId w:val="32"/>
  </w:num>
  <w:num w:numId="54">
    <w:abstractNumId w:val="17"/>
  </w:num>
  <w:num w:numId="55">
    <w:abstractNumId w:val="60"/>
  </w:num>
  <w:num w:numId="56">
    <w:abstractNumId w:val="7"/>
  </w:num>
  <w:num w:numId="57">
    <w:abstractNumId w:val="48"/>
  </w:num>
  <w:num w:numId="58">
    <w:abstractNumId w:val="55"/>
  </w:num>
  <w:num w:numId="59">
    <w:abstractNumId w:val="59"/>
  </w:num>
  <w:num w:numId="60">
    <w:abstractNumId w:val="66"/>
  </w:num>
  <w:num w:numId="61">
    <w:abstractNumId w:val="37"/>
  </w:num>
  <w:num w:numId="62">
    <w:abstractNumId w:val="42"/>
  </w:num>
  <w:num w:numId="6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rPr>
      </w:lvl>
    </w:lvlOverride>
  </w:num>
  <w:num w:numId="64">
    <w:abstractNumId w:val="58"/>
  </w:num>
  <w:num w:numId="65">
    <w:abstractNumId w:val="57"/>
  </w:num>
  <w:num w:numId="66">
    <w:abstractNumId w:val="26"/>
  </w:num>
  <w:num w:numId="67">
    <w:abstractNumId w:val="6"/>
  </w:num>
  <w:num w:numId="68">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2A94"/>
    <w:rsid w:val="000077F1"/>
    <w:rsid w:val="00010E59"/>
    <w:rsid w:val="00012039"/>
    <w:rsid w:val="00012DCE"/>
    <w:rsid w:val="00013578"/>
    <w:rsid w:val="000140C2"/>
    <w:rsid w:val="00014535"/>
    <w:rsid w:val="00015BB3"/>
    <w:rsid w:val="00017048"/>
    <w:rsid w:val="000176E0"/>
    <w:rsid w:val="00020A27"/>
    <w:rsid w:val="000226DB"/>
    <w:rsid w:val="00022D02"/>
    <w:rsid w:val="00023D95"/>
    <w:rsid w:val="000259FE"/>
    <w:rsid w:val="00026633"/>
    <w:rsid w:val="00027F72"/>
    <w:rsid w:val="00031252"/>
    <w:rsid w:val="00031D44"/>
    <w:rsid w:val="000338DF"/>
    <w:rsid w:val="00033EA9"/>
    <w:rsid w:val="000370B6"/>
    <w:rsid w:val="00040C94"/>
    <w:rsid w:val="000421DC"/>
    <w:rsid w:val="00042D58"/>
    <w:rsid w:val="00042E35"/>
    <w:rsid w:val="00045471"/>
    <w:rsid w:val="0005006B"/>
    <w:rsid w:val="00050ACF"/>
    <w:rsid w:val="00052C13"/>
    <w:rsid w:val="000533F5"/>
    <w:rsid w:val="00053575"/>
    <w:rsid w:val="00053641"/>
    <w:rsid w:val="000541D0"/>
    <w:rsid w:val="000559D6"/>
    <w:rsid w:val="0005703F"/>
    <w:rsid w:val="000576A1"/>
    <w:rsid w:val="00057CB0"/>
    <w:rsid w:val="00060276"/>
    <w:rsid w:val="0006287D"/>
    <w:rsid w:val="00065FE8"/>
    <w:rsid w:val="00066996"/>
    <w:rsid w:val="00067D6F"/>
    <w:rsid w:val="00071C4C"/>
    <w:rsid w:val="00073AE0"/>
    <w:rsid w:val="00074C08"/>
    <w:rsid w:val="0008378F"/>
    <w:rsid w:val="00083884"/>
    <w:rsid w:val="00085ED0"/>
    <w:rsid w:val="000918A6"/>
    <w:rsid w:val="000936C7"/>
    <w:rsid w:val="00093F5E"/>
    <w:rsid w:val="0009451A"/>
    <w:rsid w:val="00095F74"/>
    <w:rsid w:val="000967B6"/>
    <w:rsid w:val="00096FCE"/>
    <w:rsid w:val="000A06AB"/>
    <w:rsid w:val="000A10A6"/>
    <w:rsid w:val="000A3B32"/>
    <w:rsid w:val="000A4F1D"/>
    <w:rsid w:val="000A6429"/>
    <w:rsid w:val="000A6CB3"/>
    <w:rsid w:val="000A7B65"/>
    <w:rsid w:val="000B2769"/>
    <w:rsid w:val="000B574D"/>
    <w:rsid w:val="000B72E6"/>
    <w:rsid w:val="000C1172"/>
    <w:rsid w:val="000C1C04"/>
    <w:rsid w:val="000C28E4"/>
    <w:rsid w:val="000C2B4B"/>
    <w:rsid w:val="000C41C8"/>
    <w:rsid w:val="000C446D"/>
    <w:rsid w:val="000C4931"/>
    <w:rsid w:val="000C4AEF"/>
    <w:rsid w:val="000C5D9C"/>
    <w:rsid w:val="000C62AF"/>
    <w:rsid w:val="000C7AE7"/>
    <w:rsid w:val="000D1118"/>
    <w:rsid w:val="000D324F"/>
    <w:rsid w:val="000D403A"/>
    <w:rsid w:val="000D4627"/>
    <w:rsid w:val="000D5AC6"/>
    <w:rsid w:val="000D6173"/>
    <w:rsid w:val="000D636F"/>
    <w:rsid w:val="000D6650"/>
    <w:rsid w:val="000D7057"/>
    <w:rsid w:val="000D743A"/>
    <w:rsid w:val="000E0635"/>
    <w:rsid w:val="000E15B2"/>
    <w:rsid w:val="000E1BB4"/>
    <w:rsid w:val="000E3DCE"/>
    <w:rsid w:val="000E5656"/>
    <w:rsid w:val="000E59E7"/>
    <w:rsid w:val="000E5CA6"/>
    <w:rsid w:val="000E6C92"/>
    <w:rsid w:val="000F075F"/>
    <w:rsid w:val="000F16F1"/>
    <w:rsid w:val="000F2361"/>
    <w:rsid w:val="000F272C"/>
    <w:rsid w:val="000F3301"/>
    <w:rsid w:val="000F5863"/>
    <w:rsid w:val="000F5DD9"/>
    <w:rsid w:val="000F6CE7"/>
    <w:rsid w:val="00101AF6"/>
    <w:rsid w:val="00102C96"/>
    <w:rsid w:val="00103207"/>
    <w:rsid w:val="00104779"/>
    <w:rsid w:val="001054EC"/>
    <w:rsid w:val="001056AE"/>
    <w:rsid w:val="00105BCA"/>
    <w:rsid w:val="00106BD5"/>
    <w:rsid w:val="00106FE9"/>
    <w:rsid w:val="001071DC"/>
    <w:rsid w:val="00111654"/>
    <w:rsid w:val="001119A1"/>
    <w:rsid w:val="00111AFA"/>
    <w:rsid w:val="001147B3"/>
    <w:rsid w:val="00114B13"/>
    <w:rsid w:val="00114FDB"/>
    <w:rsid w:val="00116623"/>
    <w:rsid w:val="00116E7B"/>
    <w:rsid w:val="00121630"/>
    <w:rsid w:val="00123F59"/>
    <w:rsid w:val="0012637E"/>
    <w:rsid w:val="001267D9"/>
    <w:rsid w:val="00127338"/>
    <w:rsid w:val="00130079"/>
    <w:rsid w:val="001309AC"/>
    <w:rsid w:val="00130F52"/>
    <w:rsid w:val="00131051"/>
    <w:rsid w:val="001310DB"/>
    <w:rsid w:val="001314D6"/>
    <w:rsid w:val="001323B2"/>
    <w:rsid w:val="0013276B"/>
    <w:rsid w:val="00133BC6"/>
    <w:rsid w:val="00133D2A"/>
    <w:rsid w:val="0013557F"/>
    <w:rsid w:val="001369B6"/>
    <w:rsid w:val="00140644"/>
    <w:rsid w:val="00141E89"/>
    <w:rsid w:val="00142449"/>
    <w:rsid w:val="001424DB"/>
    <w:rsid w:val="0014364D"/>
    <w:rsid w:val="00144177"/>
    <w:rsid w:val="00150992"/>
    <w:rsid w:val="00150DB1"/>
    <w:rsid w:val="0015260B"/>
    <w:rsid w:val="00154509"/>
    <w:rsid w:val="00154DFB"/>
    <w:rsid w:val="0015553E"/>
    <w:rsid w:val="0015581A"/>
    <w:rsid w:val="00156304"/>
    <w:rsid w:val="00157304"/>
    <w:rsid w:val="0016036D"/>
    <w:rsid w:val="00160B53"/>
    <w:rsid w:val="00160CE7"/>
    <w:rsid w:val="00165B2E"/>
    <w:rsid w:val="00166B18"/>
    <w:rsid w:val="00166F74"/>
    <w:rsid w:val="001708D1"/>
    <w:rsid w:val="00170E78"/>
    <w:rsid w:val="00172CAF"/>
    <w:rsid w:val="00180A21"/>
    <w:rsid w:val="0018285D"/>
    <w:rsid w:val="001841FB"/>
    <w:rsid w:val="00184B67"/>
    <w:rsid w:val="00185926"/>
    <w:rsid w:val="00186091"/>
    <w:rsid w:val="00187424"/>
    <w:rsid w:val="00187734"/>
    <w:rsid w:val="00191694"/>
    <w:rsid w:val="001929E1"/>
    <w:rsid w:val="00193F86"/>
    <w:rsid w:val="00194ACE"/>
    <w:rsid w:val="001965AA"/>
    <w:rsid w:val="00197859"/>
    <w:rsid w:val="001A04A5"/>
    <w:rsid w:val="001A1471"/>
    <w:rsid w:val="001A196A"/>
    <w:rsid w:val="001A2E0F"/>
    <w:rsid w:val="001A4929"/>
    <w:rsid w:val="001A4C8D"/>
    <w:rsid w:val="001B04BA"/>
    <w:rsid w:val="001B0841"/>
    <w:rsid w:val="001B1482"/>
    <w:rsid w:val="001B172F"/>
    <w:rsid w:val="001B3322"/>
    <w:rsid w:val="001B36B2"/>
    <w:rsid w:val="001B3993"/>
    <w:rsid w:val="001B40A5"/>
    <w:rsid w:val="001B5502"/>
    <w:rsid w:val="001B7640"/>
    <w:rsid w:val="001C1936"/>
    <w:rsid w:val="001C1DEA"/>
    <w:rsid w:val="001C255E"/>
    <w:rsid w:val="001C3652"/>
    <w:rsid w:val="001C3A2B"/>
    <w:rsid w:val="001C4AFD"/>
    <w:rsid w:val="001C530F"/>
    <w:rsid w:val="001C588D"/>
    <w:rsid w:val="001C5E76"/>
    <w:rsid w:val="001D1674"/>
    <w:rsid w:val="001D30C1"/>
    <w:rsid w:val="001D366B"/>
    <w:rsid w:val="001D4666"/>
    <w:rsid w:val="001D4F76"/>
    <w:rsid w:val="001D4FCF"/>
    <w:rsid w:val="001D52B3"/>
    <w:rsid w:val="001D57C3"/>
    <w:rsid w:val="001D66AB"/>
    <w:rsid w:val="001D6931"/>
    <w:rsid w:val="001E08F0"/>
    <w:rsid w:val="001E10CA"/>
    <w:rsid w:val="001E1131"/>
    <w:rsid w:val="001E175A"/>
    <w:rsid w:val="001E2CDD"/>
    <w:rsid w:val="001E5517"/>
    <w:rsid w:val="001E5BD3"/>
    <w:rsid w:val="001E678B"/>
    <w:rsid w:val="001E6AC7"/>
    <w:rsid w:val="001E7153"/>
    <w:rsid w:val="001E720D"/>
    <w:rsid w:val="001F0290"/>
    <w:rsid w:val="001F182C"/>
    <w:rsid w:val="001F42F2"/>
    <w:rsid w:val="001F4397"/>
    <w:rsid w:val="001F441A"/>
    <w:rsid w:val="001F4856"/>
    <w:rsid w:val="001F50BE"/>
    <w:rsid w:val="001F5E0D"/>
    <w:rsid w:val="001F6A1B"/>
    <w:rsid w:val="00200AB1"/>
    <w:rsid w:val="00201302"/>
    <w:rsid w:val="002017B5"/>
    <w:rsid w:val="0020455A"/>
    <w:rsid w:val="002045DB"/>
    <w:rsid w:val="00205EA9"/>
    <w:rsid w:val="00212470"/>
    <w:rsid w:val="00214C56"/>
    <w:rsid w:val="00216761"/>
    <w:rsid w:val="00216C68"/>
    <w:rsid w:val="002205BE"/>
    <w:rsid w:val="00223855"/>
    <w:rsid w:val="002249E6"/>
    <w:rsid w:val="002253A4"/>
    <w:rsid w:val="00227008"/>
    <w:rsid w:val="00227248"/>
    <w:rsid w:val="0023393F"/>
    <w:rsid w:val="00235509"/>
    <w:rsid w:val="00235C68"/>
    <w:rsid w:val="00236448"/>
    <w:rsid w:val="00236FEC"/>
    <w:rsid w:val="002436F3"/>
    <w:rsid w:val="002455E3"/>
    <w:rsid w:val="00247B3B"/>
    <w:rsid w:val="00251432"/>
    <w:rsid w:val="0025214D"/>
    <w:rsid w:val="00252FEE"/>
    <w:rsid w:val="0025377D"/>
    <w:rsid w:val="00253FDD"/>
    <w:rsid w:val="00254190"/>
    <w:rsid w:val="00255007"/>
    <w:rsid w:val="002563D0"/>
    <w:rsid w:val="002565EF"/>
    <w:rsid w:val="002568B7"/>
    <w:rsid w:val="002571AD"/>
    <w:rsid w:val="00261495"/>
    <w:rsid w:val="00261C48"/>
    <w:rsid w:val="002621E0"/>
    <w:rsid w:val="002631B0"/>
    <w:rsid w:val="002637FC"/>
    <w:rsid w:val="00265564"/>
    <w:rsid w:val="00273942"/>
    <w:rsid w:val="00273DB7"/>
    <w:rsid w:val="00283065"/>
    <w:rsid w:val="00285F18"/>
    <w:rsid w:val="002878BC"/>
    <w:rsid w:val="00290068"/>
    <w:rsid w:val="0029042A"/>
    <w:rsid w:val="00290B4C"/>
    <w:rsid w:val="00293EAC"/>
    <w:rsid w:val="0029452A"/>
    <w:rsid w:val="0029491A"/>
    <w:rsid w:val="00295B12"/>
    <w:rsid w:val="002974E5"/>
    <w:rsid w:val="00297C13"/>
    <w:rsid w:val="002A22CC"/>
    <w:rsid w:val="002A300D"/>
    <w:rsid w:val="002A515E"/>
    <w:rsid w:val="002A5C07"/>
    <w:rsid w:val="002A75FB"/>
    <w:rsid w:val="002B0270"/>
    <w:rsid w:val="002B0295"/>
    <w:rsid w:val="002B0393"/>
    <w:rsid w:val="002B09E3"/>
    <w:rsid w:val="002B12FF"/>
    <w:rsid w:val="002B1B76"/>
    <w:rsid w:val="002B2618"/>
    <w:rsid w:val="002B3142"/>
    <w:rsid w:val="002B44F5"/>
    <w:rsid w:val="002B4EBD"/>
    <w:rsid w:val="002B6455"/>
    <w:rsid w:val="002B74D3"/>
    <w:rsid w:val="002C121C"/>
    <w:rsid w:val="002C2276"/>
    <w:rsid w:val="002C3775"/>
    <w:rsid w:val="002C4689"/>
    <w:rsid w:val="002C50AC"/>
    <w:rsid w:val="002C723D"/>
    <w:rsid w:val="002D1EB5"/>
    <w:rsid w:val="002D22F7"/>
    <w:rsid w:val="002D3167"/>
    <w:rsid w:val="002D32CB"/>
    <w:rsid w:val="002D6127"/>
    <w:rsid w:val="002D7066"/>
    <w:rsid w:val="002E101C"/>
    <w:rsid w:val="002E320C"/>
    <w:rsid w:val="002E3730"/>
    <w:rsid w:val="002E3A53"/>
    <w:rsid w:val="002E3A9F"/>
    <w:rsid w:val="002E6A95"/>
    <w:rsid w:val="002F016E"/>
    <w:rsid w:val="002F10E6"/>
    <w:rsid w:val="002F1159"/>
    <w:rsid w:val="002F2C9E"/>
    <w:rsid w:val="002F3C56"/>
    <w:rsid w:val="002F7DAC"/>
    <w:rsid w:val="0030100E"/>
    <w:rsid w:val="00304B1E"/>
    <w:rsid w:val="003052B1"/>
    <w:rsid w:val="00307441"/>
    <w:rsid w:val="003077FD"/>
    <w:rsid w:val="003106F4"/>
    <w:rsid w:val="003129FC"/>
    <w:rsid w:val="00313F99"/>
    <w:rsid w:val="00314FA9"/>
    <w:rsid w:val="0031790B"/>
    <w:rsid w:val="00317D18"/>
    <w:rsid w:val="00320506"/>
    <w:rsid w:val="00321494"/>
    <w:rsid w:val="00322B3E"/>
    <w:rsid w:val="003233FB"/>
    <w:rsid w:val="00323445"/>
    <w:rsid w:val="003244DA"/>
    <w:rsid w:val="00326DED"/>
    <w:rsid w:val="00331A04"/>
    <w:rsid w:val="00331FF3"/>
    <w:rsid w:val="00332573"/>
    <w:rsid w:val="003359D2"/>
    <w:rsid w:val="00335D71"/>
    <w:rsid w:val="00337B1C"/>
    <w:rsid w:val="003405B7"/>
    <w:rsid w:val="003434A0"/>
    <w:rsid w:val="00343BDF"/>
    <w:rsid w:val="003465E2"/>
    <w:rsid w:val="00346711"/>
    <w:rsid w:val="00346D5D"/>
    <w:rsid w:val="00347188"/>
    <w:rsid w:val="00350A0D"/>
    <w:rsid w:val="00351C0C"/>
    <w:rsid w:val="003525E7"/>
    <w:rsid w:val="00353427"/>
    <w:rsid w:val="003538AF"/>
    <w:rsid w:val="00354268"/>
    <w:rsid w:val="003553C5"/>
    <w:rsid w:val="00355F4E"/>
    <w:rsid w:val="0035604D"/>
    <w:rsid w:val="00363D73"/>
    <w:rsid w:val="00365483"/>
    <w:rsid w:val="00372B08"/>
    <w:rsid w:val="00373859"/>
    <w:rsid w:val="00373FEE"/>
    <w:rsid w:val="00375095"/>
    <w:rsid w:val="00375758"/>
    <w:rsid w:val="003778A3"/>
    <w:rsid w:val="00382792"/>
    <w:rsid w:val="00382F99"/>
    <w:rsid w:val="003834E1"/>
    <w:rsid w:val="00384E53"/>
    <w:rsid w:val="003865B5"/>
    <w:rsid w:val="00386FB4"/>
    <w:rsid w:val="003870F6"/>
    <w:rsid w:val="00390764"/>
    <w:rsid w:val="00390914"/>
    <w:rsid w:val="0039179D"/>
    <w:rsid w:val="00391D83"/>
    <w:rsid w:val="00392A81"/>
    <w:rsid w:val="00392CA8"/>
    <w:rsid w:val="00393430"/>
    <w:rsid w:val="00393A34"/>
    <w:rsid w:val="00395BFA"/>
    <w:rsid w:val="0039680E"/>
    <w:rsid w:val="003978C0"/>
    <w:rsid w:val="003A0FFB"/>
    <w:rsid w:val="003A4D73"/>
    <w:rsid w:val="003A552C"/>
    <w:rsid w:val="003A759D"/>
    <w:rsid w:val="003B0CDE"/>
    <w:rsid w:val="003B1589"/>
    <w:rsid w:val="003B29A4"/>
    <w:rsid w:val="003B315B"/>
    <w:rsid w:val="003B3540"/>
    <w:rsid w:val="003B3C21"/>
    <w:rsid w:val="003B3EC0"/>
    <w:rsid w:val="003B3ED4"/>
    <w:rsid w:val="003B6743"/>
    <w:rsid w:val="003B69EF"/>
    <w:rsid w:val="003B75B9"/>
    <w:rsid w:val="003C0FC0"/>
    <w:rsid w:val="003C195F"/>
    <w:rsid w:val="003C3376"/>
    <w:rsid w:val="003C3C3B"/>
    <w:rsid w:val="003C7A1F"/>
    <w:rsid w:val="003D1BEF"/>
    <w:rsid w:val="003D230E"/>
    <w:rsid w:val="003D2582"/>
    <w:rsid w:val="003D4F45"/>
    <w:rsid w:val="003D617C"/>
    <w:rsid w:val="003E0096"/>
    <w:rsid w:val="003E219A"/>
    <w:rsid w:val="003E220A"/>
    <w:rsid w:val="003E5DCB"/>
    <w:rsid w:val="003F0B18"/>
    <w:rsid w:val="003F2032"/>
    <w:rsid w:val="003F2C95"/>
    <w:rsid w:val="003F59C5"/>
    <w:rsid w:val="003F5D03"/>
    <w:rsid w:val="003F7345"/>
    <w:rsid w:val="003F77E9"/>
    <w:rsid w:val="004059B1"/>
    <w:rsid w:val="00406A77"/>
    <w:rsid w:val="00407975"/>
    <w:rsid w:val="00410A4B"/>
    <w:rsid w:val="00411425"/>
    <w:rsid w:val="00411A74"/>
    <w:rsid w:val="004132BD"/>
    <w:rsid w:val="00413484"/>
    <w:rsid w:val="0041440C"/>
    <w:rsid w:val="004145A4"/>
    <w:rsid w:val="004167D5"/>
    <w:rsid w:val="00421137"/>
    <w:rsid w:val="004215B6"/>
    <w:rsid w:val="0042209B"/>
    <w:rsid w:val="00422C19"/>
    <w:rsid w:val="004233D3"/>
    <w:rsid w:val="00423D75"/>
    <w:rsid w:val="004279AB"/>
    <w:rsid w:val="00427F7E"/>
    <w:rsid w:val="00430211"/>
    <w:rsid w:val="00433D2C"/>
    <w:rsid w:val="004346C6"/>
    <w:rsid w:val="00434A9D"/>
    <w:rsid w:val="0043719C"/>
    <w:rsid w:val="00441586"/>
    <w:rsid w:val="00450795"/>
    <w:rsid w:val="00451CBE"/>
    <w:rsid w:val="00452E27"/>
    <w:rsid w:val="00453EC9"/>
    <w:rsid w:val="0045472F"/>
    <w:rsid w:val="0045564C"/>
    <w:rsid w:val="0045632B"/>
    <w:rsid w:val="00456ED2"/>
    <w:rsid w:val="00457A73"/>
    <w:rsid w:val="00457AEA"/>
    <w:rsid w:val="0046327F"/>
    <w:rsid w:val="00465225"/>
    <w:rsid w:val="00467EA7"/>
    <w:rsid w:val="0047151A"/>
    <w:rsid w:val="0047326F"/>
    <w:rsid w:val="00474A2C"/>
    <w:rsid w:val="00474FA1"/>
    <w:rsid w:val="00476274"/>
    <w:rsid w:val="00480450"/>
    <w:rsid w:val="00480914"/>
    <w:rsid w:val="00480D21"/>
    <w:rsid w:val="00483279"/>
    <w:rsid w:val="004834AC"/>
    <w:rsid w:val="00483F9A"/>
    <w:rsid w:val="00484D8F"/>
    <w:rsid w:val="00485630"/>
    <w:rsid w:val="0048571D"/>
    <w:rsid w:val="00487079"/>
    <w:rsid w:val="00487D1B"/>
    <w:rsid w:val="00490D99"/>
    <w:rsid w:val="00495D56"/>
    <w:rsid w:val="00496DC1"/>
    <w:rsid w:val="0049714F"/>
    <w:rsid w:val="004975CE"/>
    <w:rsid w:val="00497B76"/>
    <w:rsid w:val="004A04E1"/>
    <w:rsid w:val="004A2616"/>
    <w:rsid w:val="004A4449"/>
    <w:rsid w:val="004A61B1"/>
    <w:rsid w:val="004B234A"/>
    <w:rsid w:val="004B37D0"/>
    <w:rsid w:val="004B49C3"/>
    <w:rsid w:val="004B4C5B"/>
    <w:rsid w:val="004B5007"/>
    <w:rsid w:val="004B6605"/>
    <w:rsid w:val="004B6C11"/>
    <w:rsid w:val="004C102D"/>
    <w:rsid w:val="004C2DC8"/>
    <w:rsid w:val="004C3F5A"/>
    <w:rsid w:val="004C40DF"/>
    <w:rsid w:val="004C43DD"/>
    <w:rsid w:val="004C476E"/>
    <w:rsid w:val="004C518B"/>
    <w:rsid w:val="004C5FA1"/>
    <w:rsid w:val="004D0EB2"/>
    <w:rsid w:val="004D1D5F"/>
    <w:rsid w:val="004D3B33"/>
    <w:rsid w:val="004D589C"/>
    <w:rsid w:val="004D6C9F"/>
    <w:rsid w:val="004D7DC3"/>
    <w:rsid w:val="004E0EC5"/>
    <w:rsid w:val="004E2EE7"/>
    <w:rsid w:val="004E3BED"/>
    <w:rsid w:val="004F2978"/>
    <w:rsid w:val="004F3478"/>
    <w:rsid w:val="004F367B"/>
    <w:rsid w:val="004F3B96"/>
    <w:rsid w:val="004F4E26"/>
    <w:rsid w:val="004F60F0"/>
    <w:rsid w:val="004F6BF4"/>
    <w:rsid w:val="004F7A58"/>
    <w:rsid w:val="00500104"/>
    <w:rsid w:val="005015D1"/>
    <w:rsid w:val="0050175E"/>
    <w:rsid w:val="0050177E"/>
    <w:rsid w:val="00506692"/>
    <w:rsid w:val="0051316B"/>
    <w:rsid w:val="00517EA9"/>
    <w:rsid w:val="005200C2"/>
    <w:rsid w:val="0052126E"/>
    <w:rsid w:val="00522E14"/>
    <w:rsid w:val="0052418F"/>
    <w:rsid w:val="005241CD"/>
    <w:rsid w:val="00525BE7"/>
    <w:rsid w:val="00526D05"/>
    <w:rsid w:val="00530B43"/>
    <w:rsid w:val="00530C15"/>
    <w:rsid w:val="00531565"/>
    <w:rsid w:val="005318E1"/>
    <w:rsid w:val="005340AE"/>
    <w:rsid w:val="0053494B"/>
    <w:rsid w:val="00535076"/>
    <w:rsid w:val="00535756"/>
    <w:rsid w:val="00536561"/>
    <w:rsid w:val="00537E72"/>
    <w:rsid w:val="005457D4"/>
    <w:rsid w:val="00546F8D"/>
    <w:rsid w:val="00547280"/>
    <w:rsid w:val="00547607"/>
    <w:rsid w:val="005479D5"/>
    <w:rsid w:val="00550118"/>
    <w:rsid w:val="00550942"/>
    <w:rsid w:val="0055195F"/>
    <w:rsid w:val="00551A3D"/>
    <w:rsid w:val="00551DC6"/>
    <w:rsid w:val="00553DE7"/>
    <w:rsid w:val="005547B2"/>
    <w:rsid w:val="00555F8E"/>
    <w:rsid w:val="005560B8"/>
    <w:rsid w:val="0055625E"/>
    <w:rsid w:val="00560330"/>
    <w:rsid w:val="005613DB"/>
    <w:rsid w:val="00561443"/>
    <w:rsid w:val="0056248F"/>
    <w:rsid w:val="00562F59"/>
    <w:rsid w:val="005653A7"/>
    <w:rsid w:val="00565B7C"/>
    <w:rsid w:val="005664FF"/>
    <w:rsid w:val="005719F0"/>
    <w:rsid w:val="005722ED"/>
    <w:rsid w:val="005737BF"/>
    <w:rsid w:val="005739B8"/>
    <w:rsid w:val="00573FA9"/>
    <w:rsid w:val="0057493A"/>
    <w:rsid w:val="00575846"/>
    <w:rsid w:val="00576D40"/>
    <w:rsid w:val="00576FA3"/>
    <w:rsid w:val="00577B36"/>
    <w:rsid w:val="005815E9"/>
    <w:rsid w:val="00582FC8"/>
    <w:rsid w:val="005852FD"/>
    <w:rsid w:val="00587A17"/>
    <w:rsid w:val="005922D3"/>
    <w:rsid w:val="00592DA0"/>
    <w:rsid w:val="00594EA6"/>
    <w:rsid w:val="00596CCA"/>
    <w:rsid w:val="005A02FC"/>
    <w:rsid w:val="005A0881"/>
    <w:rsid w:val="005A1318"/>
    <w:rsid w:val="005A1C14"/>
    <w:rsid w:val="005A2EEB"/>
    <w:rsid w:val="005A3C6F"/>
    <w:rsid w:val="005A4FD8"/>
    <w:rsid w:val="005A5027"/>
    <w:rsid w:val="005A5283"/>
    <w:rsid w:val="005A6B2C"/>
    <w:rsid w:val="005B0550"/>
    <w:rsid w:val="005B18AD"/>
    <w:rsid w:val="005B3671"/>
    <w:rsid w:val="005B47A1"/>
    <w:rsid w:val="005B5C46"/>
    <w:rsid w:val="005B7D51"/>
    <w:rsid w:val="005C02E9"/>
    <w:rsid w:val="005C0CAF"/>
    <w:rsid w:val="005C1618"/>
    <w:rsid w:val="005C4618"/>
    <w:rsid w:val="005C5F68"/>
    <w:rsid w:val="005C6309"/>
    <w:rsid w:val="005C6441"/>
    <w:rsid w:val="005D0BA7"/>
    <w:rsid w:val="005D160C"/>
    <w:rsid w:val="005D5E09"/>
    <w:rsid w:val="005D6EC2"/>
    <w:rsid w:val="005E0B7B"/>
    <w:rsid w:val="005E29BF"/>
    <w:rsid w:val="005E2BE0"/>
    <w:rsid w:val="005E62AC"/>
    <w:rsid w:val="005E7AC5"/>
    <w:rsid w:val="005E7BF5"/>
    <w:rsid w:val="005F1AD2"/>
    <w:rsid w:val="005F4D8E"/>
    <w:rsid w:val="005F72F5"/>
    <w:rsid w:val="005F7D12"/>
    <w:rsid w:val="00600495"/>
    <w:rsid w:val="00600CAC"/>
    <w:rsid w:val="00600F5B"/>
    <w:rsid w:val="00602CA7"/>
    <w:rsid w:val="00603F29"/>
    <w:rsid w:val="00607607"/>
    <w:rsid w:val="006104DC"/>
    <w:rsid w:val="00610812"/>
    <w:rsid w:val="006117C8"/>
    <w:rsid w:val="00615278"/>
    <w:rsid w:val="00616168"/>
    <w:rsid w:val="00620DFD"/>
    <w:rsid w:val="006216D3"/>
    <w:rsid w:val="00621A22"/>
    <w:rsid w:val="0062352F"/>
    <w:rsid w:val="0062537E"/>
    <w:rsid w:val="00625B1D"/>
    <w:rsid w:val="00630752"/>
    <w:rsid w:val="00637B2B"/>
    <w:rsid w:val="00641CD2"/>
    <w:rsid w:val="006421D6"/>
    <w:rsid w:val="006427B9"/>
    <w:rsid w:val="0064456A"/>
    <w:rsid w:val="00645679"/>
    <w:rsid w:val="00651196"/>
    <w:rsid w:val="0065363F"/>
    <w:rsid w:val="00655528"/>
    <w:rsid w:val="00657CE1"/>
    <w:rsid w:val="006607A3"/>
    <w:rsid w:val="00660DFB"/>
    <w:rsid w:val="00666444"/>
    <w:rsid w:val="00666845"/>
    <w:rsid w:val="00670130"/>
    <w:rsid w:val="00671D13"/>
    <w:rsid w:val="006747E2"/>
    <w:rsid w:val="00677E57"/>
    <w:rsid w:val="00680BE2"/>
    <w:rsid w:val="00681A6D"/>
    <w:rsid w:val="0068345A"/>
    <w:rsid w:val="00684623"/>
    <w:rsid w:val="00687DE1"/>
    <w:rsid w:val="0069228F"/>
    <w:rsid w:val="00693038"/>
    <w:rsid w:val="006932B3"/>
    <w:rsid w:val="00693436"/>
    <w:rsid w:val="006937EE"/>
    <w:rsid w:val="00693F83"/>
    <w:rsid w:val="006957C1"/>
    <w:rsid w:val="0069600C"/>
    <w:rsid w:val="00696474"/>
    <w:rsid w:val="00696733"/>
    <w:rsid w:val="00697AA8"/>
    <w:rsid w:val="006A17F3"/>
    <w:rsid w:val="006A1B3A"/>
    <w:rsid w:val="006A30C5"/>
    <w:rsid w:val="006A3C36"/>
    <w:rsid w:val="006A5E6A"/>
    <w:rsid w:val="006A6127"/>
    <w:rsid w:val="006A6F52"/>
    <w:rsid w:val="006A7D52"/>
    <w:rsid w:val="006B1CFB"/>
    <w:rsid w:val="006B3D86"/>
    <w:rsid w:val="006B463C"/>
    <w:rsid w:val="006B492B"/>
    <w:rsid w:val="006B6D09"/>
    <w:rsid w:val="006B7D97"/>
    <w:rsid w:val="006C0570"/>
    <w:rsid w:val="006C1452"/>
    <w:rsid w:val="006C2D18"/>
    <w:rsid w:val="006C2D83"/>
    <w:rsid w:val="006C7EE1"/>
    <w:rsid w:val="006D08D8"/>
    <w:rsid w:val="006D0A1A"/>
    <w:rsid w:val="006D248F"/>
    <w:rsid w:val="006D6336"/>
    <w:rsid w:val="006E1845"/>
    <w:rsid w:val="006E1854"/>
    <w:rsid w:val="006E19A5"/>
    <w:rsid w:val="006E29C6"/>
    <w:rsid w:val="006E4B3C"/>
    <w:rsid w:val="006E532C"/>
    <w:rsid w:val="006F0F69"/>
    <w:rsid w:val="006F1D69"/>
    <w:rsid w:val="006F31B2"/>
    <w:rsid w:val="006F3529"/>
    <w:rsid w:val="006F3A4F"/>
    <w:rsid w:val="006F4384"/>
    <w:rsid w:val="007019B3"/>
    <w:rsid w:val="00702FA9"/>
    <w:rsid w:val="00703C94"/>
    <w:rsid w:val="00704902"/>
    <w:rsid w:val="00704E7C"/>
    <w:rsid w:val="007058FE"/>
    <w:rsid w:val="00705D42"/>
    <w:rsid w:val="00706C9D"/>
    <w:rsid w:val="00710CA8"/>
    <w:rsid w:val="00712A2F"/>
    <w:rsid w:val="00712AB2"/>
    <w:rsid w:val="00713D16"/>
    <w:rsid w:val="00717355"/>
    <w:rsid w:val="00720173"/>
    <w:rsid w:val="0072090A"/>
    <w:rsid w:val="00720FCC"/>
    <w:rsid w:val="00721435"/>
    <w:rsid w:val="00721A89"/>
    <w:rsid w:val="00723D58"/>
    <w:rsid w:val="007243C9"/>
    <w:rsid w:val="00725219"/>
    <w:rsid w:val="0072579A"/>
    <w:rsid w:val="0072638C"/>
    <w:rsid w:val="00730BC5"/>
    <w:rsid w:val="00731670"/>
    <w:rsid w:val="0073348A"/>
    <w:rsid w:val="00733743"/>
    <w:rsid w:val="00734DCB"/>
    <w:rsid w:val="00735C6D"/>
    <w:rsid w:val="00736948"/>
    <w:rsid w:val="00737F1A"/>
    <w:rsid w:val="007409EA"/>
    <w:rsid w:val="00740E60"/>
    <w:rsid w:val="007413DC"/>
    <w:rsid w:val="0074214C"/>
    <w:rsid w:val="00742670"/>
    <w:rsid w:val="00742F56"/>
    <w:rsid w:val="00744C05"/>
    <w:rsid w:val="00745D2A"/>
    <w:rsid w:val="00746287"/>
    <w:rsid w:val="0074713A"/>
    <w:rsid w:val="0074774C"/>
    <w:rsid w:val="00747842"/>
    <w:rsid w:val="007518C5"/>
    <w:rsid w:val="00751B17"/>
    <w:rsid w:val="00756ACE"/>
    <w:rsid w:val="007575C9"/>
    <w:rsid w:val="0076053A"/>
    <w:rsid w:val="0076102E"/>
    <w:rsid w:val="00763A4A"/>
    <w:rsid w:val="00764621"/>
    <w:rsid w:val="00764696"/>
    <w:rsid w:val="00765BC8"/>
    <w:rsid w:val="00767C66"/>
    <w:rsid w:val="007716CC"/>
    <w:rsid w:val="00771AFE"/>
    <w:rsid w:val="0077248E"/>
    <w:rsid w:val="007726E0"/>
    <w:rsid w:val="00777C5C"/>
    <w:rsid w:val="00781898"/>
    <w:rsid w:val="0078192C"/>
    <w:rsid w:val="00782A2F"/>
    <w:rsid w:val="00786CD8"/>
    <w:rsid w:val="007877C7"/>
    <w:rsid w:val="00787C36"/>
    <w:rsid w:val="007921D4"/>
    <w:rsid w:val="007931F4"/>
    <w:rsid w:val="007936FD"/>
    <w:rsid w:val="0079780C"/>
    <w:rsid w:val="007978D0"/>
    <w:rsid w:val="00797F23"/>
    <w:rsid w:val="007A26B5"/>
    <w:rsid w:val="007A2BB9"/>
    <w:rsid w:val="007A4572"/>
    <w:rsid w:val="007A490B"/>
    <w:rsid w:val="007A5F62"/>
    <w:rsid w:val="007A78BF"/>
    <w:rsid w:val="007B06F3"/>
    <w:rsid w:val="007B15F2"/>
    <w:rsid w:val="007B375F"/>
    <w:rsid w:val="007B6BD1"/>
    <w:rsid w:val="007B7988"/>
    <w:rsid w:val="007C15AA"/>
    <w:rsid w:val="007C3450"/>
    <w:rsid w:val="007C4088"/>
    <w:rsid w:val="007C46D9"/>
    <w:rsid w:val="007C4CC5"/>
    <w:rsid w:val="007C5305"/>
    <w:rsid w:val="007C55ED"/>
    <w:rsid w:val="007D0B1D"/>
    <w:rsid w:val="007D18B7"/>
    <w:rsid w:val="007D2DCB"/>
    <w:rsid w:val="007D61E4"/>
    <w:rsid w:val="007D630C"/>
    <w:rsid w:val="007E2AD9"/>
    <w:rsid w:val="007E6C6D"/>
    <w:rsid w:val="007E710A"/>
    <w:rsid w:val="007F1D2A"/>
    <w:rsid w:val="007F2576"/>
    <w:rsid w:val="007F3E7C"/>
    <w:rsid w:val="007F46E2"/>
    <w:rsid w:val="007F64A6"/>
    <w:rsid w:val="0080030B"/>
    <w:rsid w:val="008011A0"/>
    <w:rsid w:val="00801F0F"/>
    <w:rsid w:val="00802FCB"/>
    <w:rsid w:val="008030C1"/>
    <w:rsid w:val="00803133"/>
    <w:rsid w:val="008040CC"/>
    <w:rsid w:val="008043AA"/>
    <w:rsid w:val="0080615D"/>
    <w:rsid w:val="00806AD2"/>
    <w:rsid w:val="0081157B"/>
    <w:rsid w:val="00812D3A"/>
    <w:rsid w:val="0081403C"/>
    <w:rsid w:val="00814176"/>
    <w:rsid w:val="008168B2"/>
    <w:rsid w:val="00816EC3"/>
    <w:rsid w:val="00823486"/>
    <w:rsid w:val="0082683F"/>
    <w:rsid w:val="008274AD"/>
    <w:rsid w:val="00833489"/>
    <w:rsid w:val="00833FB5"/>
    <w:rsid w:val="008354F9"/>
    <w:rsid w:val="008357D0"/>
    <w:rsid w:val="00836BDC"/>
    <w:rsid w:val="00837E70"/>
    <w:rsid w:val="00841A93"/>
    <w:rsid w:val="00842F80"/>
    <w:rsid w:val="00843730"/>
    <w:rsid w:val="008460EF"/>
    <w:rsid w:val="00850B66"/>
    <w:rsid w:val="008517E9"/>
    <w:rsid w:val="0085293D"/>
    <w:rsid w:val="008548BA"/>
    <w:rsid w:val="00854D86"/>
    <w:rsid w:val="008559B7"/>
    <w:rsid w:val="008569D3"/>
    <w:rsid w:val="00857917"/>
    <w:rsid w:val="008616E6"/>
    <w:rsid w:val="008625A6"/>
    <w:rsid w:val="00862E6A"/>
    <w:rsid w:val="00865D10"/>
    <w:rsid w:val="00866364"/>
    <w:rsid w:val="00870410"/>
    <w:rsid w:val="008725B4"/>
    <w:rsid w:val="0087276D"/>
    <w:rsid w:val="00874092"/>
    <w:rsid w:val="0087670B"/>
    <w:rsid w:val="008767A8"/>
    <w:rsid w:val="0088055A"/>
    <w:rsid w:val="00880FCC"/>
    <w:rsid w:val="0088174B"/>
    <w:rsid w:val="00881A15"/>
    <w:rsid w:val="0088209F"/>
    <w:rsid w:val="00882A87"/>
    <w:rsid w:val="00885D2C"/>
    <w:rsid w:val="008905AA"/>
    <w:rsid w:val="00890C25"/>
    <w:rsid w:val="00891454"/>
    <w:rsid w:val="00891E40"/>
    <w:rsid w:val="00893017"/>
    <w:rsid w:val="00896D8D"/>
    <w:rsid w:val="008A0D5D"/>
    <w:rsid w:val="008A457A"/>
    <w:rsid w:val="008A50C5"/>
    <w:rsid w:val="008A570D"/>
    <w:rsid w:val="008A7563"/>
    <w:rsid w:val="008B2782"/>
    <w:rsid w:val="008B396E"/>
    <w:rsid w:val="008B4727"/>
    <w:rsid w:val="008B5A93"/>
    <w:rsid w:val="008B77AF"/>
    <w:rsid w:val="008B79F0"/>
    <w:rsid w:val="008C115E"/>
    <w:rsid w:val="008C3B3A"/>
    <w:rsid w:val="008C6454"/>
    <w:rsid w:val="008D513E"/>
    <w:rsid w:val="008D5637"/>
    <w:rsid w:val="008D5F8C"/>
    <w:rsid w:val="008D616F"/>
    <w:rsid w:val="008D768F"/>
    <w:rsid w:val="008E39F1"/>
    <w:rsid w:val="008E5B85"/>
    <w:rsid w:val="008E5E5A"/>
    <w:rsid w:val="008E617E"/>
    <w:rsid w:val="008E6B9B"/>
    <w:rsid w:val="008F01B6"/>
    <w:rsid w:val="008F0ACC"/>
    <w:rsid w:val="008F2B04"/>
    <w:rsid w:val="008F382D"/>
    <w:rsid w:val="008F3F29"/>
    <w:rsid w:val="008F41B7"/>
    <w:rsid w:val="008F4C82"/>
    <w:rsid w:val="008F67D6"/>
    <w:rsid w:val="008F74E9"/>
    <w:rsid w:val="009020FA"/>
    <w:rsid w:val="00904A0B"/>
    <w:rsid w:val="00905523"/>
    <w:rsid w:val="00905FD6"/>
    <w:rsid w:val="009112A5"/>
    <w:rsid w:val="00911664"/>
    <w:rsid w:val="0091299A"/>
    <w:rsid w:val="0091432B"/>
    <w:rsid w:val="00917A80"/>
    <w:rsid w:val="00920605"/>
    <w:rsid w:val="0092124A"/>
    <w:rsid w:val="00923384"/>
    <w:rsid w:val="00924CB6"/>
    <w:rsid w:val="00925016"/>
    <w:rsid w:val="00926864"/>
    <w:rsid w:val="00927506"/>
    <w:rsid w:val="0092760D"/>
    <w:rsid w:val="00931056"/>
    <w:rsid w:val="00931A08"/>
    <w:rsid w:val="00931CD8"/>
    <w:rsid w:val="0093546C"/>
    <w:rsid w:val="00936E5D"/>
    <w:rsid w:val="00937AEB"/>
    <w:rsid w:val="00937E11"/>
    <w:rsid w:val="00940DAC"/>
    <w:rsid w:val="009411FD"/>
    <w:rsid w:val="00942155"/>
    <w:rsid w:val="00942225"/>
    <w:rsid w:val="00942EF6"/>
    <w:rsid w:val="00944803"/>
    <w:rsid w:val="00950325"/>
    <w:rsid w:val="00952CBE"/>
    <w:rsid w:val="0095703F"/>
    <w:rsid w:val="009570FB"/>
    <w:rsid w:val="009571F0"/>
    <w:rsid w:val="0096010E"/>
    <w:rsid w:val="009607CD"/>
    <w:rsid w:val="00962042"/>
    <w:rsid w:val="009747A1"/>
    <w:rsid w:val="0097531E"/>
    <w:rsid w:val="00976844"/>
    <w:rsid w:val="00982479"/>
    <w:rsid w:val="00985D42"/>
    <w:rsid w:val="0098726B"/>
    <w:rsid w:val="009872B8"/>
    <w:rsid w:val="00990641"/>
    <w:rsid w:val="00992A70"/>
    <w:rsid w:val="00993D36"/>
    <w:rsid w:val="009948FC"/>
    <w:rsid w:val="009959F8"/>
    <w:rsid w:val="009965FE"/>
    <w:rsid w:val="009A0022"/>
    <w:rsid w:val="009A297A"/>
    <w:rsid w:val="009A4F88"/>
    <w:rsid w:val="009A5029"/>
    <w:rsid w:val="009A7404"/>
    <w:rsid w:val="009A7642"/>
    <w:rsid w:val="009B079F"/>
    <w:rsid w:val="009B0F16"/>
    <w:rsid w:val="009B179F"/>
    <w:rsid w:val="009B17E9"/>
    <w:rsid w:val="009B5338"/>
    <w:rsid w:val="009C0C7A"/>
    <w:rsid w:val="009C0E56"/>
    <w:rsid w:val="009C237C"/>
    <w:rsid w:val="009C24C9"/>
    <w:rsid w:val="009C338D"/>
    <w:rsid w:val="009C3693"/>
    <w:rsid w:val="009C43DE"/>
    <w:rsid w:val="009C4B3B"/>
    <w:rsid w:val="009C59BB"/>
    <w:rsid w:val="009D0759"/>
    <w:rsid w:val="009D1B38"/>
    <w:rsid w:val="009D2BCD"/>
    <w:rsid w:val="009D38D1"/>
    <w:rsid w:val="009D3CCD"/>
    <w:rsid w:val="009D492E"/>
    <w:rsid w:val="009D5577"/>
    <w:rsid w:val="009D5929"/>
    <w:rsid w:val="009D64B4"/>
    <w:rsid w:val="009D6C37"/>
    <w:rsid w:val="009D75A1"/>
    <w:rsid w:val="009E18BE"/>
    <w:rsid w:val="009E1E8A"/>
    <w:rsid w:val="009E6C6D"/>
    <w:rsid w:val="009E7C46"/>
    <w:rsid w:val="009E7EBA"/>
    <w:rsid w:val="009F0791"/>
    <w:rsid w:val="009F100D"/>
    <w:rsid w:val="009F1070"/>
    <w:rsid w:val="009F3880"/>
    <w:rsid w:val="009F7855"/>
    <w:rsid w:val="00A01794"/>
    <w:rsid w:val="00A045D9"/>
    <w:rsid w:val="00A058BD"/>
    <w:rsid w:val="00A07346"/>
    <w:rsid w:val="00A12E59"/>
    <w:rsid w:val="00A148E6"/>
    <w:rsid w:val="00A17FA5"/>
    <w:rsid w:val="00A20429"/>
    <w:rsid w:val="00A2070D"/>
    <w:rsid w:val="00A2497F"/>
    <w:rsid w:val="00A25133"/>
    <w:rsid w:val="00A272BB"/>
    <w:rsid w:val="00A32084"/>
    <w:rsid w:val="00A32AFB"/>
    <w:rsid w:val="00A32E87"/>
    <w:rsid w:val="00A33D10"/>
    <w:rsid w:val="00A33F2C"/>
    <w:rsid w:val="00A35BA3"/>
    <w:rsid w:val="00A37745"/>
    <w:rsid w:val="00A40268"/>
    <w:rsid w:val="00A42DCD"/>
    <w:rsid w:val="00A435BD"/>
    <w:rsid w:val="00A44D50"/>
    <w:rsid w:val="00A46022"/>
    <w:rsid w:val="00A46523"/>
    <w:rsid w:val="00A47116"/>
    <w:rsid w:val="00A52908"/>
    <w:rsid w:val="00A53345"/>
    <w:rsid w:val="00A54CFC"/>
    <w:rsid w:val="00A552EC"/>
    <w:rsid w:val="00A55B81"/>
    <w:rsid w:val="00A565B3"/>
    <w:rsid w:val="00A569DD"/>
    <w:rsid w:val="00A57A3E"/>
    <w:rsid w:val="00A600A5"/>
    <w:rsid w:val="00A60955"/>
    <w:rsid w:val="00A61C49"/>
    <w:rsid w:val="00A6218D"/>
    <w:rsid w:val="00A64981"/>
    <w:rsid w:val="00A6703F"/>
    <w:rsid w:val="00A6706B"/>
    <w:rsid w:val="00A72B82"/>
    <w:rsid w:val="00A72E85"/>
    <w:rsid w:val="00A74B05"/>
    <w:rsid w:val="00A7518A"/>
    <w:rsid w:val="00A7548A"/>
    <w:rsid w:val="00A75956"/>
    <w:rsid w:val="00A820F0"/>
    <w:rsid w:val="00A82B95"/>
    <w:rsid w:val="00A8479F"/>
    <w:rsid w:val="00A84A68"/>
    <w:rsid w:val="00A8532E"/>
    <w:rsid w:val="00A85F58"/>
    <w:rsid w:val="00A8625F"/>
    <w:rsid w:val="00A93534"/>
    <w:rsid w:val="00A936E4"/>
    <w:rsid w:val="00A93E62"/>
    <w:rsid w:val="00A9689F"/>
    <w:rsid w:val="00AA10C5"/>
    <w:rsid w:val="00AA4093"/>
    <w:rsid w:val="00AA5DD7"/>
    <w:rsid w:val="00AA7DFC"/>
    <w:rsid w:val="00AB0AFA"/>
    <w:rsid w:val="00AB2B46"/>
    <w:rsid w:val="00AB32A8"/>
    <w:rsid w:val="00AB3636"/>
    <w:rsid w:val="00AB498A"/>
    <w:rsid w:val="00AB4A40"/>
    <w:rsid w:val="00AC2637"/>
    <w:rsid w:val="00AC299C"/>
    <w:rsid w:val="00AC499B"/>
    <w:rsid w:val="00AC6243"/>
    <w:rsid w:val="00AC6F38"/>
    <w:rsid w:val="00AC78DA"/>
    <w:rsid w:val="00AC7ACE"/>
    <w:rsid w:val="00AD0AF8"/>
    <w:rsid w:val="00AD2282"/>
    <w:rsid w:val="00AD2A6B"/>
    <w:rsid w:val="00AD4244"/>
    <w:rsid w:val="00AD49F4"/>
    <w:rsid w:val="00AD4D05"/>
    <w:rsid w:val="00AE094E"/>
    <w:rsid w:val="00AE1F8C"/>
    <w:rsid w:val="00AE2455"/>
    <w:rsid w:val="00AE308C"/>
    <w:rsid w:val="00AE38D3"/>
    <w:rsid w:val="00AE3C23"/>
    <w:rsid w:val="00AE5289"/>
    <w:rsid w:val="00AE72F6"/>
    <w:rsid w:val="00AF088E"/>
    <w:rsid w:val="00AF2DE4"/>
    <w:rsid w:val="00AF418B"/>
    <w:rsid w:val="00AF489F"/>
    <w:rsid w:val="00AF4AE8"/>
    <w:rsid w:val="00AF5307"/>
    <w:rsid w:val="00AF5E7D"/>
    <w:rsid w:val="00AF6431"/>
    <w:rsid w:val="00B04C0C"/>
    <w:rsid w:val="00B05620"/>
    <w:rsid w:val="00B07DDD"/>
    <w:rsid w:val="00B1107D"/>
    <w:rsid w:val="00B128A5"/>
    <w:rsid w:val="00B142E9"/>
    <w:rsid w:val="00B1439B"/>
    <w:rsid w:val="00B16680"/>
    <w:rsid w:val="00B16EDF"/>
    <w:rsid w:val="00B1779A"/>
    <w:rsid w:val="00B20009"/>
    <w:rsid w:val="00B20435"/>
    <w:rsid w:val="00B22901"/>
    <w:rsid w:val="00B23D68"/>
    <w:rsid w:val="00B27186"/>
    <w:rsid w:val="00B306B8"/>
    <w:rsid w:val="00B34321"/>
    <w:rsid w:val="00B35C4C"/>
    <w:rsid w:val="00B369F4"/>
    <w:rsid w:val="00B36B60"/>
    <w:rsid w:val="00B36EE6"/>
    <w:rsid w:val="00B37628"/>
    <w:rsid w:val="00B4549D"/>
    <w:rsid w:val="00B46FC3"/>
    <w:rsid w:val="00B47381"/>
    <w:rsid w:val="00B4763E"/>
    <w:rsid w:val="00B517A7"/>
    <w:rsid w:val="00B52232"/>
    <w:rsid w:val="00B52533"/>
    <w:rsid w:val="00B5286C"/>
    <w:rsid w:val="00B52A53"/>
    <w:rsid w:val="00B54108"/>
    <w:rsid w:val="00B61F08"/>
    <w:rsid w:val="00B620C5"/>
    <w:rsid w:val="00B62EA3"/>
    <w:rsid w:val="00B64E15"/>
    <w:rsid w:val="00B6540B"/>
    <w:rsid w:val="00B657FD"/>
    <w:rsid w:val="00B6621F"/>
    <w:rsid w:val="00B669D7"/>
    <w:rsid w:val="00B66FEB"/>
    <w:rsid w:val="00B67A97"/>
    <w:rsid w:val="00B7284C"/>
    <w:rsid w:val="00B75091"/>
    <w:rsid w:val="00B770CF"/>
    <w:rsid w:val="00B81631"/>
    <w:rsid w:val="00B848D0"/>
    <w:rsid w:val="00B919BF"/>
    <w:rsid w:val="00B925D1"/>
    <w:rsid w:val="00B92CE9"/>
    <w:rsid w:val="00B93DBD"/>
    <w:rsid w:val="00B9540C"/>
    <w:rsid w:val="00BA34E3"/>
    <w:rsid w:val="00BA3EEC"/>
    <w:rsid w:val="00BA428B"/>
    <w:rsid w:val="00BA59FD"/>
    <w:rsid w:val="00BA7CC4"/>
    <w:rsid w:val="00BB42E4"/>
    <w:rsid w:val="00BB5A77"/>
    <w:rsid w:val="00BB5D7F"/>
    <w:rsid w:val="00BC1264"/>
    <w:rsid w:val="00BC140A"/>
    <w:rsid w:val="00BC2615"/>
    <w:rsid w:val="00BC2F92"/>
    <w:rsid w:val="00BC383E"/>
    <w:rsid w:val="00BC3DEA"/>
    <w:rsid w:val="00BC61F2"/>
    <w:rsid w:val="00BC63F4"/>
    <w:rsid w:val="00BD18A1"/>
    <w:rsid w:val="00BD1E85"/>
    <w:rsid w:val="00BD5AB4"/>
    <w:rsid w:val="00BD781B"/>
    <w:rsid w:val="00BE1820"/>
    <w:rsid w:val="00BE1B6D"/>
    <w:rsid w:val="00BE1E03"/>
    <w:rsid w:val="00BE26F5"/>
    <w:rsid w:val="00BE2A11"/>
    <w:rsid w:val="00BE3A12"/>
    <w:rsid w:val="00BE47ED"/>
    <w:rsid w:val="00BE59F9"/>
    <w:rsid w:val="00BF230A"/>
    <w:rsid w:val="00BF293A"/>
    <w:rsid w:val="00BF3931"/>
    <w:rsid w:val="00BF49F9"/>
    <w:rsid w:val="00C01220"/>
    <w:rsid w:val="00C01443"/>
    <w:rsid w:val="00C01DB0"/>
    <w:rsid w:val="00C031F8"/>
    <w:rsid w:val="00C05C89"/>
    <w:rsid w:val="00C0762F"/>
    <w:rsid w:val="00C11791"/>
    <w:rsid w:val="00C124DA"/>
    <w:rsid w:val="00C13B20"/>
    <w:rsid w:val="00C13C80"/>
    <w:rsid w:val="00C15675"/>
    <w:rsid w:val="00C1617A"/>
    <w:rsid w:val="00C202E0"/>
    <w:rsid w:val="00C20521"/>
    <w:rsid w:val="00C20675"/>
    <w:rsid w:val="00C227CC"/>
    <w:rsid w:val="00C26EB8"/>
    <w:rsid w:val="00C27668"/>
    <w:rsid w:val="00C30F2A"/>
    <w:rsid w:val="00C3236B"/>
    <w:rsid w:val="00C331C0"/>
    <w:rsid w:val="00C340AE"/>
    <w:rsid w:val="00C36099"/>
    <w:rsid w:val="00C3748C"/>
    <w:rsid w:val="00C37E41"/>
    <w:rsid w:val="00C409D9"/>
    <w:rsid w:val="00C420F6"/>
    <w:rsid w:val="00C423F0"/>
    <w:rsid w:val="00C43617"/>
    <w:rsid w:val="00C43908"/>
    <w:rsid w:val="00C43940"/>
    <w:rsid w:val="00C44274"/>
    <w:rsid w:val="00C45DF8"/>
    <w:rsid w:val="00C474B0"/>
    <w:rsid w:val="00C51522"/>
    <w:rsid w:val="00C51D84"/>
    <w:rsid w:val="00C51D8D"/>
    <w:rsid w:val="00C52638"/>
    <w:rsid w:val="00C53B82"/>
    <w:rsid w:val="00C5499F"/>
    <w:rsid w:val="00C56F5F"/>
    <w:rsid w:val="00C5708A"/>
    <w:rsid w:val="00C64495"/>
    <w:rsid w:val="00C64804"/>
    <w:rsid w:val="00C6531B"/>
    <w:rsid w:val="00C654B4"/>
    <w:rsid w:val="00C663AA"/>
    <w:rsid w:val="00C66573"/>
    <w:rsid w:val="00C679BC"/>
    <w:rsid w:val="00C704BB"/>
    <w:rsid w:val="00C725EE"/>
    <w:rsid w:val="00C72C94"/>
    <w:rsid w:val="00C73073"/>
    <w:rsid w:val="00C731BD"/>
    <w:rsid w:val="00C80E99"/>
    <w:rsid w:val="00C8171E"/>
    <w:rsid w:val="00C82259"/>
    <w:rsid w:val="00C84BD6"/>
    <w:rsid w:val="00C85101"/>
    <w:rsid w:val="00C85BB2"/>
    <w:rsid w:val="00C85D10"/>
    <w:rsid w:val="00C86054"/>
    <w:rsid w:val="00C86A48"/>
    <w:rsid w:val="00C86BD4"/>
    <w:rsid w:val="00C86CAD"/>
    <w:rsid w:val="00C874B5"/>
    <w:rsid w:val="00C87AF5"/>
    <w:rsid w:val="00C91A14"/>
    <w:rsid w:val="00C93A60"/>
    <w:rsid w:val="00C94621"/>
    <w:rsid w:val="00C952C8"/>
    <w:rsid w:val="00C95A85"/>
    <w:rsid w:val="00C9671B"/>
    <w:rsid w:val="00C970A0"/>
    <w:rsid w:val="00C97727"/>
    <w:rsid w:val="00CA2B68"/>
    <w:rsid w:val="00CA37AE"/>
    <w:rsid w:val="00CA41EF"/>
    <w:rsid w:val="00CA573C"/>
    <w:rsid w:val="00CA77BC"/>
    <w:rsid w:val="00CB1112"/>
    <w:rsid w:val="00CB167A"/>
    <w:rsid w:val="00CB306E"/>
    <w:rsid w:val="00CB3B58"/>
    <w:rsid w:val="00CB3CAB"/>
    <w:rsid w:val="00CB4995"/>
    <w:rsid w:val="00CB57B0"/>
    <w:rsid w:val="00CB6185"/>
    <w:rsid w:val="00CB660A"/>
    <w:rsid w:val="00CB77DC"/>
    <w:rsid w:val="00CC00C7"/>
    <w:rsid w:val="00CC1873"/>
    <w:rsid w:val="00CC23A1"/>
    <w:rsid w:val="00CC26F0"/>
    <w:rsid w:val="00CC3B9F"/>
    <w:rsid w:val="00CC6D4C"/>
    <w:rsid w:val="00CC707D"/>
    <w:rsid w:val="00CD1101"/>
    <w:rsid w:val="00CD7552"/>
    <w:rsid w:val="00CD7629"/>
    <w:rsid w:val="00CE39DF"/>
    <w:rsid w:val="00CE484A"/>
    <w:rsid w:val="00CE5E86"/>
    <w:rsid w:val="00CE6699"/>
    <w:rsid w:val="00CE6F57"/>
    <w:rsid w:val="00CF317C"/>
    <w:rsid w:val="00CF32C4"/>
    <w:rsid w:val="00CF33C9"/>
    <w:rsid w:val="00CF3BCE"/>
    <w:rsid w:val="00CF494D"/>
    <w:rsid w:val="00CF4F5D"/>
    <w:rsid w:val="00CF5905"/>
    <w:rsid w:val="00CF793D"/>
    <w:rsid w:val="00D01BD7"/>
    <w:rsid w:val="00D022DF"/>
    <w:rsid w:val="00D047E4"/>
    <w:rsid w:val="00D052B0"/>
    <w:rsid w:val="00D07A84"/>
    <w:rsid w:val="00D10FFE"/>
    <w:rsid w:val="00D1303A"/>
    <w:rsid w:val="00D13C85"/>
    <w:rsid w:val="00D1467B"/>
    <w:rsid w:val="00D1546A"/>
    <w:rsid w:val="00D1651A"/>
    <w:rsid w:val="00D179AE"/>
    <w:rsid w:val="00D207C9"/>
    <w:rsid w:val="00D25DFA"/>
    <w:rsid w:val="00D260BF"/>
    <w:rsid w:val="00D31BFF"/>
    <w:rsid w:val="00D32929"/>
    <w:rsid w:val="00D32F0F"/>
    <w:rsid w:val="00D338A6"/>
    <w:rsid w:val="00D35EAD"/>
    <w:rsid w:val="00D3638F"/>
    <w:rsid w:val="00D3735F"/>
    <w:rsid w:val="00D37816"/>
    <w:rsid w:val="00D40FF8"/>
    <w:rsid w:val="00D4121C"/>
    <w:rsid w:val="00D44CD7"/>
    <w:rsid w:val="00D45576"/>
    <w:rsid w:val="00D45607"/>
    <w:rsid w:val="00D46354"/>
    <w:rsid w:val="00D46B66"/>
    <w:rsid w:val="00D47B4C"/>
    <w:rsid w:val="00D50390"/>
    <w:rsid w:val="00D51CA6"/>
    <w:rsid w:val="00D54B00"/>
    <w:rsid w:val="00D55906"/>
    <w:rsid w:val="00D60452"/>
    <w:rsid w:val="00D619AA"/>
    <w:rsid w:val="00D61C0D"/>
    <w:rsid w:val="00D6527A"/>
    <w:rsid w:val="00D66749"/>
    <w:rsid w:val="00D673E0"/>
    <w:rsid w:val="00D676BF"/>
    <w:rsid w:val="00D72C21"/>
    <w:rsid w:val="00D731AE"/>
    <w:rsid w:val="00D73210"/>
    <w:rsid w:val="00D73474"/>
    <w:rsid w:val="00D737B9"/>
    <w:rsid w:val="00D74423"/>
    <w:rsid w:val="00D7450F"/>
    <w:rsid w:val="00D75993"/>
    <w:rsid w:val="00D80612"/>
    <w:rsid w:val="00D817B6"/>
    <w:rsid w:val="00D844E5"/>
    <w:rsid w:val="00D85BEE"/>
    <w:rsid w:val="00D86320"/>
    <w:rsid w:val="00D9101D"/>
    <w:rsid w:val="00D912B6"/>
    <w:rsid w:val="00D9158C"/>
    <w:rsid w:val="00D9379F"/>
    <w:rsid w:val="00D939C8"/>
    <w:rsid w:val="00D947AD"/>
    <w:rsid w:val="00D954DF"/>
    <w:rsid w:val="00D95598"/>
    <w:rsid w:val="00DA2169"/>
    <w:rsid w:val="00DA2731"/>
    <w:rsid w:val="00DA5FA6"/>
    <w:rsid w:val="00DA6375"/>
    <w:rsid w:val="00DA6794"/>
    <w:rsid w:val="00DA71FE"/>
    <w:rsid w:val="00DA7998"/>
    <w:rsid w:val="00DB0759"/>
    <w:rsid w:val="00DB0ACC"/>
    <w:rsid w:val="00DB1437"/>
    <w:rsid w:val="00DB23FB"/>
    <w:rsid w:val="00DB2CD4"/>
    <w:rsid w:val="00DB4659"/>
    <w:rsid w:val="00DB5E36"/>
    <w:rsid w:val="00DB5F7B"/>
    <w:rsid w:val="00DC0B8D"/>
    <w:rsid w:val="00DC0C20"/>
    <w:rsid w:val="00DC1B98"/>
    <w:rsid w:val="00DC2324"/>
    <w:rsid w:val="00DC4E90"/>
    <w:rsid w:val="00DC7270"/>
    <w:rsid w:val="00DD0BF1"/>
    <w:rsid w:val="00DD0F40"/>
    <w:rsid w:val="00DD27BF"/>
    <w:rsid w:val="00DD2AD7"/>
    <w:rsid w:val="00DD2FC0"/>
    <w:rsid w:val="00DD441B"/>
    <w:rsid w:val="00DD4AEA"/>
    <w:rsid w:val="00DD6B48"/>
    <w:rsid w:val="00DE01C2"/>
    <w:rsid w:val="00DE33F0"/>
    <w:rsid w:val="00DE353B"/>
    <w:rsid w:val="00DE3FCD"/>
    <w:rsid w:val="00DE73A0"/>
    <w:rsid w:val="00DF187A"/>
    <w:rsid w:val="00DF1E66"/>
    <w:rsid w:val="00DF3619"/>
    <w:rsid w:val="00DF3F75"/>
    <w:rsid w:val="00DF5FD5"/>
    <w:rsid w:val="00DF726C"/>
    <w:rsid w:val="00DF7FD0"/>
    <w:rsid w:val="00E01A44"/>
    <w:rsid w:val="00E0269A"/>
    <w:rsid w:val="00E0329E"/>
    <w:rsid w:val="00E03D0F"/>
    <w:rsid w:val="00E03D47"/>
    <w:rsid w:val="00E0403B"/>
    <w:rsid w:val="00E04313"/>
    <w:rsid w:val="00E04C33"/>
    <w:rsid w:val="00E05434"/>
    <w:rsid w:val="00E071C1"/>
    <w:rsid w:val="00E073A2"/>
    <w:rsid w:val="00E12138"/>
    <w:rsid w:val="00E13802"/>
    <w:rsid w:val="00E13813"/>
    <w:rsid w:val="00E144F3"/>
    <w:rsid w:val="00E14949"/>
    <w:rsid w:val="00E17ABC"/>
    <w:rsid w:val="00E20FAE"/>
    <w:rsid w:val="00E21610"/>
    <w:rsid w:val="00E228BF"/>
    <w:rsid w:val="00E24096"/>
    <w:rsid w:val="00E25CD4"/>
    <w:rsid w:val="00E260FD"/>
    <w:rsid w:val="00E27AEE"/>
    <w:rsid w:val="00E305F6"/>
    <w:rsid w:val="00E31079"/>
    <w:rsid w:val="00E31747"/>
    <w:rsid w:val="00E31DFC"/>
    <w:rsid w:val="00E3623A"/>
    <w:rsid w:val="00E378E4"/>
    <w:rsid w:val="00E37BF3"/>
    <w:rsid w:val="00E43B05"/>
    <w:rsid w:val="00E44EEF"/>
    <w:rsid w:val="00E45026"/>
    <w:rsid w:val="00E45AF2"/>
    <w:rsid w:val="00E4663C"/>
    <w:rsid w:val="00E469E0"/>
    <w:rsid w:val="00E50248"/>
    <w:rsid w:val="00E5046E"/>
    <w:rsid w:val="00E510D2"/>
    <w:rsid w:val="00E5112E"/>
    <w:rsid w:val="00E52357"/>
    <w:rsid w:val="00E52A96"/>
    <w:rsid w:val="00E52F26"/>
    <w:rsid w:val="00E54EFB"/>
    <w:rsid w:val="00E54F31"/>
    <w:rsid w:val="00E573E6"/>
    <w:rsid w:val="00E57B53"/>
    <w:rsid w:val="00E62840"/>
    <w:rsid w:val="00E62F1E"/>
    <w:rsid w:val="00E638CA"/>
    <w:rsid w:val="00E63DF7"/>
    <w:rsid w:val="00E658B4"/>
    <w:rsid w:val="00E7037E"/>
    <w:rsid w:val="00E70637"/>
    <w:rsid w:val="00E71511"/>
    <w:rsid w:val="00E7222C"/>
    <w:rsid w:val="00E737D1"/>
    <w:rsid w:val="00E73FD5"/>
    <w:rsid w:val="00E743CF"/>
    <w:rsid w:val="00E747D5"/>
    <w:rsid w:val="00E75986"/>
    <w:rsid w:val="00E75CC0"/>
    <w:rsid w:val="00E76725"/>
    <w:rsid w:val="00E81CE5"/>
    <w:rsid w:val="00E91F11"/>
    <w:rsid w:val="00E92D87"/>
    <w:rsid w:val="00E94E5A"/>
    <w:rsid w:val="00E9520E"/>
    <w:rsid w:val="00E9556A"/>
    <w:rsid w:val="00E955AA"/>
    <w:rsid w:val="00E96EA1"/>
    <w:rsid w:val="00E97876"/>
    <w:rsid w:val="00EA0361"/>
    <w:rsid w:val="00EA08BB"/>
    <w:rsid w:val="00EA0E57"/>
    <w:rsid w:val="00EA1529"/>
    <w:rsid w:val="00EA26F5"/>
    <w:rsid w:val="00EA272D"/>
    <w:rsid w:val="00EA37B1"/>
    <w:rsid w:val="00EA5722"/>
    <w:rsid w:val="00EA695A"/>
    <w:rsid w:val="00EB307E"/>
    <w:rsid w:val="00EB589C"/>
    <w:rsid w:val="00EB5FD7"/>
    <w:rsid w:val="00EB6F86"/>
    <w:rsid w:val="00EB6FFC"/>
    <w:rsid w:val="00EB76DB"/>
    <w:rsid w:val="00EC04AD"/>
    <w:rsid w:val="00EC190D"/>
    <w:rsid w:val="00EC254F"/>
    <w:rsid w:val="00EC337D"/>
    <w:rsid w:val="00EC35D3"/>
    <w:rsid w:val="00EC4A5A"/>
    <w:rsid w:val="00EC59E0"/>
    <w:rsid w:val="00EC5E1E"/>
    <w:rsid w:val="00EC71B0"/>
    <w:rsid w:val="00EC7CDC"/>
    <w:rsid w:val="00ED0F97"/>
    <w:rsid w:val="00ED2EE2"/>
    <w:rsid w:val="00ED75D2"/>
    <w:rsid w:val="00EE0692"/>
    <w:rsid w:val="00EE3C05"/>
    <w:rsid w:val="00EE5005"/>
    <w:rsid w:val="00EE50F4"/>
    <w:rsid w:val="00EE5AE4"/>
    <w:rsid w:val="00EE5CB9"/>
    <w:rsid w:val="00EF05B0"/>
    <w:rsid w:val="00EF05CA"/>
    <w:rsid w:val="00EF0676"/>
    <w:rsid w:val="00EF2002"/>
    <w:rsid w:val="00EF2564"/>
    <w:rsid w:val="00EF6BC3"/>
    <w:rsid w:val="00F02808"/>
    <w:rsid w:val="00F02B92"/>
    <w:rsid w:val="00F02E0A"/>
    <w:rsid w:val="00F02E9C"/>
    <w:rsid w:val="00F04053"/>
    <w:rsid w:val="00F0656B"/>
    <w:rsid w:val="00F1010F"/>
    <w:rsid w:val="00F1035D"/>
    <w:rsid w:val="00F10840"/>
    <w:rsid w:val="00F11BA3"/>
    <w:rsid w:val="00F12623"/>
    <w:rsid w:val="00F12EBF"/>
    <w:rsid w:val="00F14372"/>
    <w:rsid w:val="00F15A5E"/>
    <w:rsid w:val="00F16285"/>
    <w:rsid w:val="00F17371"/>
    <w:rsid w:val="00F22028"/>
    <w:rsid w:val="00F22571"/>
    <w:rsid w:val="00F31946"/>
    <w:rsid w:val="00F31E7D"/>
    <w:rsid w:val="00F329E0"/>
    <w:rsid w:val="00F32D11"/>
    <w:rsid w:val="00F33B78"/>
    <w:rsid w:val="00F344B6"/>
    <w:rsid w:val="00F41B4C"/>
    <w:rsid w:val="00F42921"/>
    <w:rsid w:val="00F42C62"/>
    <w:rsid w:val="00F42D62"/>
    <w:rsid w:val="00F44F7D"/>
    <w:rsid w:val="00F450DB"/>
    <w:rsid w:val="00F465FB"/>
    <w:rsid w:val="00F46977"/>
    <w:rsid w:val="00F5207E"/>
    <w:rsid w:val="00F52105"/>
    <w:rsid w:val="00F52871"/>
    <w:rsid w:val="00F52905"/>
    <w:rsid w:val="00F54752"/>
    <w:rsid w:val="00F5593B"/>
    <w:rsid w:val="00F55DA6"/>
    <w:rsid w:val="00F56550"/>
    <w:rsid w:val="00F61453"/>
    <w:rsid w:val="00F62F06"/>
    <w:rsid w:val="00F64259"/>
    <w:rsid w:val="00F70415"/>
    <w:rsid w:val="00F73D63"/>
    <w:rsid w:val="00F73EF7"/>
    <w:rsid w:val="00F745AD"/>
    <w:rsid w:val="00F75FD9"/>
    <w:rsid w:val="00F77391"/>
    <w:rsid w:val="00F815CE"/>
    <w:rsid w:val="00F8436E"/>
    <w:rsid w:val="00F84692"/>
    <w:rsid w:val="00F84926"/>
    <w:rsid w:val="00F84E09"/>
    <w:rsid w:val="00F8704A"/>
    <w:rsid w:val="00F87AE7"/>
    <w:rsid w:val="00F87B47"/>
    <w:rsid w:val="00F87F9E"/>
    <w:rsid w:val="00F907FA"/>
    <w:rsid w:val="00F90CBD"/>
    <w:rsid w:val="00F91E5E"/>
    <w:rsid w:val="00F9545C"/>
    <w:rsid w:val="00F96BD2"/>
    <w:rsid w:val="00F97E47"/>
    <w:rsid w:val="00FA0174"/>
    <w:rsid w:val="00FA1437"/>
    <w:rsid w:val="00FA19A7"/>
    <w:rsid w:val="00FA2FCC"/>
    <w:rsid w:val="00FA3741"/>
    <w:rsid w:val="00FB17EB"/>
    <w:rsid w:val="00FB1FD4"/>
    <w:rsid w:val="00FB34CE"/>
    <w:rsid w:val="00FB79DA"/>
    <w:rsid w:val="00FC2807"/>
    <w:rsid w:val="00FC2D58"/>
    <w:rsid w:val="00FC36AA"/>
    <w:rsid w:val="00FC3917"/>
    <w:rsid w:val="00FC4A9F"/>
    <w:rsid w:val="00FC5AF1"/>
    <w:rsid w:val="00FC7485"/>
    <w:rsid w:val="00FC783A"/>
    <w:rsid w:val="00FC7A65"/>
    <w:rsid w:val="00FD2F94"/>
    <w:rsid w:val="00FD41BE"/>
    <w:rsid w:val="00FD4CB6"/>
    <w:rsid w:val="00FD5C73"/>
    <w:rsid w:val="00FD769F"/>
    <w:rsid w:val="00FE1825"/>
    <w:rsid w:val="00FE36D0"/>
    <w:rsid w:val="00FE512C"/>
    <w:rsid w:val="00FE5D82"/>
    <w:rsid w:val="00FF0543"/>
    <w:rsid w:val="00FF0CBC"/>
    <w:rsid w:val="00FF0E20"/>
    <w:rsid w:val="00FF5C00"/>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E7D98"/>
  <w15:chartTrackingRefBased/>
  <w15:docId w15:val="{80FA3EAA-C01C-4995-A4C2-E088E453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semiHidden/>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character" w:styleId="CommentReference">
    <w:name w:val="annotation reference"/>
    <w:rsid w:val="00B517A7"/>
    <w:rPr>
      <w:sz w:val="16"/>
      <w:szCs w:val="16"/>
    </w:rPr>
  </w:style>
  <w:style w:type="paragraph" w:styleId="CommentText">
    <w:name w:val="annotation text"/>
    <w:basedOn w:val="Normal"/>
    <w:link w:val="CommentTextChar"/>
    <w:rsid w:val="00B517A7"/>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CommentTextChar">
    <w:name w:val="Comment Text Char"/>
    <w:link w:val="CommentText"/>
    <w:rsid w:val="00B517A7"/>
    <w:rPr>
      <w:rFonts w:ascii="ClassGarmnd BT" w:hAnsi="ClassGarmnd BT"/>
      <w:lang w:val="en-GB" w:eastAsia="en-US"/>
    </w:rPr>
  </w:style>
  <w:style w:type="character" w:customStyle="1" w:styleId="BoxtextChar">
    <w:name w:val="Box text Char"/>
    <w:link w:val="Boxtext"/>
    <w:locked/>
    <w:rsid w:val="00B517A7"/>
    <w:rPr>
      <w:rFonts w:ascii="Arial Narrow" w:hAnsi="Arial Narrow"/>
      <w:lang w:eastAsia="en-US"/>
    </w:rPr>
  </w:style>
  <w:style w:type="paragraph" w:customStyle="1" w:styleId="Boxtext">
    <w:name w:val="Box text"/>
    <w:basedOn w:val="Normal"/>
    <w:link w:val="BoxtextChar"/>
    <w:qFormat/>
    <w:rsid w:val="00B517A7"/>
    <w:pPr>
      <w:spacing w:before="60" w:after="60"/>
    </w:pPr>
    <w:rPr>
      <w:rFonts w:ascii="Arial Narrow" w:hAnsi="Arial Narrow"/>
      <w:szCs w:val="20"/>
    </w:rPr>
  </w:style>
  <w:style w:type="paragraph" w:styleId="CommentSubject">
    <w:name w:val="annotation subject"/>
    <w:basedOn w:val="CommentText"/>
    <w:next w:val="CommentText"/>
    <w:link w:val="CommentSubjectChar"/>
    <w:rsid w:val="0065363F"/>
    <w:pPr>
      <w:tabs>
        <w:tab w:val="left" w:pos="851"/>
      </w:tabs>
      <w:overflowPunct/>
      <w:autoSpaceDE/>
      <w:autoSpaceDN/>
      <w:adjustRightInd/>
      <w:spacing w:before="120" w:after="120"/>
      <w:jc w:val="left"/>
      <w:textAlignment w:val="auto"/>
    </w:pPr>
    <w:rPr>
      <w:rFonts w:ascii="Arial" w:hAnsi="Arial"/>
      <w:b/>
      <w:bCs/>
      <w:lang w:val="en-AU"/>
    </w:rPr>
  </w:style>
  <w:style w:type="character" w:customStyle="1" w:styleId="CommentSubjectChar">
    <w:name w:val="Comment Subject Char"/>
    <w:link w:val="CommentSubject"/>
    <w:rsid w:val="0065363F"/>
    <w:rPr>
      <w:rFonts w:ascii="Arial" w:hAnsi="Arial"/>
      <w:b/>
      <w:bCs/>
      <w:lang w:val="en-GB" w:eastAsia="en-US"/>
    </w:rPr>
  </w:style>
  <w:style w:type="character" w:customStyle="1" w:styleId="xforms-hint6">
    <w:name w:val="xforms-hint6"/>
    <w:rsid w:val="005A5027"/>
  </w:style>
  <w:style w:type="character" w:customStyle="1" w:styleId="BoxnotesChar">
    <w:name w:val="Box notes Char"/>
    <w:link w:val="Boxnotes"/>
    <w:locked/>
    <w:rsid w:val="00DF1E66"/>
    <w:rPr>
      <w:rFonts w:ascii="Arial Narrow" w:hAnsi="Arial Narrow"/>
      <w:i/>
      <w:sz w:val="18"/>
      <w:szCs w:val="18"/>
      <w:lang w:eastAsia="en-US"/>
    </w:rPr>
  </w:style>
  <w:style w:type="paragraph" w:customStyle="1" w:styleId="Boxnotes">
    <w:name w:val="Box notes"/>
    <w:basedOn w:val="Boxtext"/>
    <w:link w:val="BoxnotesChar"/>
    <w:qFormat/>
    <w:rsid w:val="00DF1E66"/>
    <w:pPr>
      <w:spacing w:before="0" w:after="0"/>
    </w:pPr>
    <w:rPr>
      <w:i/>
      <w:sz w:val="18"/>
      <w:szCs w:val="18"/>
    </w:rPr>
  </w:style>
  <w:style w:type="character" w:customStyle="1" w:styleId="inline-comment-marker">
    <w:name w:val="inline-comment-marker"/>
    <w:rsid w:val="002B0393"/>
  </w:style>
  <w:style w:type="paragraph" w:styleId="Revision">
    <w:name w:val="Revision"/>
    <w:hidden/>
    <w:uiPriority w:val="99"/>
    <w:semiHidden/>
    <w:rsid w:val="005D160C"/>
    <w:rPr>
      <w:rFonts w:ascii="Arial" w:hAnsi="Arial"/>
      <w:szCs w:val="24"/>
      <w:lang w:eastAsia="en-US"/>
    </w:rPr>
  </w:style>
  <w:style w:type="character" w:customStyle="1" w:styleId="fr-grid-2-1">
    <w:name w:val="fr-grid-2-1"/>
    <w:basedOn w:val="DefaultParagraphFont"/>
    <w:rsid w:val="00D737B9"/>
  </w:style>
  <w:style w:type="character" w:customStyle="1" w:styleId="xforms-control">
    <w:name w:val="xforms-control"/>
    <w:basedOn w:val="DefaultParagraphFont"/>
    <w:rsid w:val="00D737B9"/>
  </w:style>
  <w:style w:type="character" w:customStyle="1" w:styleId="xforms-hint">
    <w:name w:val="xforms-hint"/>
    <w:basedOn w:val="DefaultParagraphFont"/>
    <w:rsid w:val="00D737B9"/>
  </w:style>
  <w:style w:type="character" w:customStyle="1" w:styleId="fr-grid-4-1">
    <w:name w:val="fr-grid-4-1"/>
    <w:basedOn w:val="DefaultParagraphFont"/>
    <w:rsid w:val="00D737B9"/>
  </w:style>
  <w:style w:type="character" w:customStyle="1" w:styleId="fr-grid-5-1">
    <w:name w:val="fr-grid-5-1"/>
    <w:basedOn w:val="DefaultParagraphFont"/>
    <w:rsid w:val="00D737B9"/>
  </w:style>
  <w:style w:type="character" w:customStyle="1" w:styleId="xforms-help">
    <w:name w:val="xforms-help"/>
    <w:basedOn w:val="DefaultParagraphFont"/>
    <w:rsid w:val="00D737B9"/>
  </w:style>
  <w:style w:type="character" w:customStyle="1" w:styleId="fr-grid-6-7">
    <w:name w:val="fr-grid-6-7"/>
    <w:basedOn w:val="DefaultParagraphFont"/>
    <w:rsid w:val="00D737B9"/>
  </w:style>
  <w:style w:type="character" w:customStyle="1" w:styleId="xforms-label">
    <w:name w:val="xforms-label"/>
    <w:basedOn w:val="DefaultParagraphFont"/>
    <w:rsid w:val="00D737B9"/>
  </w:style>
  <w:style w:type="character" w:customStyle="1" w:styleId="xforms-group">
    <w:name w:val="xforms-group"/>
    <w:basedOn w:val="DefaultParagraphFont"/>
    <w:rsid w:val="00D737B9"/>
  </w:style>
  <w:style w:type="paragraph" w:styleId="ListParagraph">
    <w:name w:val="List Paragraph"/>
    <w:basedOn w:val="Normal"/>
    <w:uiPriority w:val="34"/>
    <w:qFormat/>
    <w:rsid w:val="008F74E9"/>
    <w:pPr>
      <w:tabs>
        <w:tab w:val="clear" w:pos="851"/>
      </w:tabs>
      <w:overflowPunct w:val="0"/>
      <w:autoSpaceDE w:val="0"/>
      <w:autoSpaceDN w:val="0"/>
      <w:adjustRightInd w:val="0"/>
      <w:spacing w:before="0" w:after="0"/>
      <w:ind w:left="720"/>
      <w:contextualSpacing/>
      <w:textAlignment w:val="baseline"/>
    </w:pPr>
    <w:rPr>
      <w:rFonts w:ascii="Arial Narrow" w:hAnsi="Arial Narrow"/>
      <w:sz w:val="22"/>
      <w:szCs w:val="20"/>
    </w:rPr>
  </w:style>
  <w:style w:type="character" w:styleId="Emphasis">
    <w:name w:val="Emphasis"/>
    <w:basedOn w:val="DefaultParagraphFont"/>
    <w:uiPriority w:val="20"/>
    <w:qFormat/>
    <w:rsid w:val="008F74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942616499">
      <w:bodyDiv w:val="1"/>
      <w:marLeft w:val="0"/>
      <w:marRight w:val="0"/>
      <w:marTop w:val="0"/>
      <w:marBottom w:val="0"/>
      <w:divBdr>
        <w:top w:val="none" w:sz="0" w:space="0" w:color="auto"/>
        <w:left w:val="none" w:sz="0" w:space="0" w:color="auto"/>
        <w:bottom w:val="none" w:sz="0" w:space="0" w:color="auto"/>
        <w:right w:val="none" w:sz="0" w:space="0" w:color="auto"/>
      </w:divBdr>
      <w:divsChild>
        <w:div w:id="201210451">
          <w:marLeft w:val="0"/>
          <w:marRight w:val="0"/>
          <w:marTop w:val="0"/>
          <w:marBottom w:val="0"/>
          <w:divBdr>
            <w:top w:val="none" w:sz="0" w:space="0" w:color="auto"/>
            <w:left w:val="none" w:sz="0" w:space="0" w:color="auto"/>
            <w:bottom w:val="none" w:sz="0" w:space="0" w:color="auto"/>
            <w:right w:val="none" w:sz="0" w:space="0" w:color="auto"/>
          </w:divBdr>
        </w:div>
        <w:div w:id="559172442">
          <w:marLeft w:val="0"/>
          <w:marRight w:val="0"/>
          <w:marTop w:val="0"/>
          <w:marBottom w:val="0"/>
          <w:divBdr>
            <w:top w:val="none" w:sz="0" w:space="0" w:color="auto"/>
            <w:left w:val="none" w:sz="0" w:space="0" w:color="auto"/>
            <w:bottom w:val="none" w:sz="0" w:space="0" w:color="auto"/>
            <w:right w:val="none" w:sz="0" w:space="0" w:color="auto"/>
          </w:divBdr>
        </w:div>
        <w:div w:id="1643073340">
          <w:marLeft w:val="0"/>
          <w:marRight w:val="0"/>
          <w:marTop w:val="0"/>
          <w:marBottom w:val="0"/>
          <w:divBdr>
            <w:top w:val="none" w:sz="0" w:space="0" w:color="auto"/>
            <w:left w:val="none" w:sz="0" w:space="0" w:color="auto"/>
            <w:bottom w:val="none" w:sz="0" w:space="0" w:color="auto"/>
            <w:right w:val="none" w:sz="0" w:space="0" w:color="auto"/>
          </w:divBdr>
        </w:div>
        <w:div w:id="1279870718">
          <w:marLeft w:val="0"/>
          <w:marRight w:val="0"/>
          <w:marTop w:val="0"/>
          <w:marBottom w:val="0"/>
          <w:divBdr>
            <w:top w:val="none" w:sz="0" w:space="0" w:color="auto"/>
            <w:left w:val="none" w:sz="0" w:space="0" w:color="auto"/>
            <w:bottom w:val="none" w:sz="0" w:space="0" w:color="auto"/>
            <w:right w:val="none" w:sz="0" w:space="0" w:color="auto"/>
          </w:divBdr>
        </w:div>
        <w:div w:id="1982297597">
          <w:marLeft w:val="0"/>
          <w:marRight w:val="0"/>
          <w:marTop w:val="60"/>
          <w:marBottom w:val="60"/>
          <w:divBdr>
            <w:top w:val="none" w:sz="0" w:space="0" w:color="auto"/>
            <w:left w:val="none" w:sz="0" w:space="0" w:color="auto"/>
            <w:bottom w:val="none" w:sz="0" w:space="0" w:color="auto"/>
            <w:right w:val="none" w:sz="0" w:space="0" w:color="auto"/>
          </w:divBdr>
          <w:divsChild>
            <w:div w:id="433019163">
              <w:marLeft w:val="0"/>
              <w:marRight w:val="0"/>
              <w:marTop w:val="0"/>
              <w:marBottom w:val="0"/>
              <w:divBdr>
                <w:top w:val="none" w:sz="0" w:space="0" w:color="auto"/>
                <w:left w:val="none" w:sz="0" w:space="0" w:color="auto"/>
                <w:bottom w:val="none" w:sz="0" w:space="0" w:color="auto"/>
                <w:right w:val="none" w:sz="0" w:space="0" w:color="auto"/>
              </w:divBdr>
            </w:div>
          </w:divsChild>
        </w:div>
        <w:div w:id="269053728">
          <w:marLeft w:val="0"/>
          <w:marRight w:val="0"/>
          <w:marTop w:val="0"/>
          <w:marBottom w:val="0"/>
          <w:divBdr>
            <w:top w:val="none" w:sz="0" w:space="0" w:color="auto"/>
            <w:left w:val="none" w:sz="0" w:space="0" w:color="auto"/>
            <w:bottom w:val="none" w:sz="0" w:space="0" w:color="auto"/>
            <w:right w:val="none" w:sz="0" w:space="0" w:color="auto"/>
          </w:divBdr>
        </w:div>
        <w:div w:id="1350790745">
          <w:marLeft w:val="0"/>
          <w:marRight w:val="0"/>
          <w:marTop w:val="0"/>
          <w:marBottom w:val="0"/>
          <w:divBdr>
            <w:top w:val="none" w:sz="0" w:space="0" w:color="auto"/>
            <w:left w:val="none" w:sz="0" w:space="0" w:color="auto"/>
            <w:bottom w:val="none" w:sz="0" w:space="0" w:color="auto"/>
            <w:right w:val="none" w:sz="0" w:space="0" w:color="auto"/>
          </w:divBdr>
        </w:div>
        <w:div w:id="1929263820">
          <w:marLeft w:val="0"/>
          <w:marRight w:val="0"/>
          <w:marTop w:val="60"/>
          <w:marBottom w:val="60"/>
          <w:divBdr>
            <w:top w:val="none" w:sz="0" w:space="0" w:color="auto"/>
            <w:left w:val="none" w:sz="0" w:space="0" w:color="auto"/>
            <w:bottom w:val="none" w:sz="0" w:space="0" w:color="auto"/>
            <w:right w:val="none" w:sz="0" w:space="0" w:color="auto"/>
          </w:divBdr>
        </w:div>
        <w:div w:id="207305309">
          <w:marLeft w:val="0"/>
          <w:marRight w:val="0"/>
          <w:marTop w:val="60"/>
          <w:marBottom w:val="60"/>
          <w:divBdr>
            <w:top w:val="none" w:sz="0" w:space="0" w:color="auto"/>
            <w:left w:val="none" w:sz="0" w:space="0" w:color="auto"/>
            <w:bottom w:val="none" w:sz="0" w:space="0" w:color="auto"/>
            <w:right w:val="none" w:sz="0" w:space="0" w:color="auto"/>
          </w:divBdr>
          <w:divsChild>
            <w:div w:id="1313413519">
              <w:marLeft w:val="0"/>
              <w:marRight w:val="0"/>
              <w:marTop w:val="0"/>
              <w:marBottom w:val="0"/>
              <w:divBdr>
                <w:top w:val="none" w:sz="0" w:space="0" w:color="auto"/>
                <w:left w:val="none" w:sz="0" w:space="0" w:color="auto"/>
                <w:bottom w:val="none" w:sz="0" w:space="0" w:color="auto"/>
                <w:right w:val="none" w:sz="0" w:space="0" w:color="auto"/>
              </w:divBdr>
            </w:div>
          </w:divsChild>
        </w:div>
        <w:div w:id="1070273004">
          <w:marLeft w:val="0"/>
          <w:marRight w:val="0"/>
          <w:marTop w:val="60"/>
          <w:marBottom w:val="60"/>
          <w:divBdr>
            <w:top w:val="none" w:sz="0" w:space="0" w:color="auto"/>
            <w:left w:val="none" w:sz="0" w:space="0" w:color="auto"/>
            <w:bottom w:val="none" w:sz="0" w:space="0" w:color="auto"/>
            <w:right w:val="none" w:sz="0" w:space="0" w:color="auto"/>
          </w:divBdr>
          <w:divsChild>
            <w:div w:id="311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524518363">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087605567">
      <w:bodyDiv w:val="1"/>
      <w:marLeft w:val="0"/>
      <w:marRight w:val="0"/>
      <w:marTop w:val="0"/>
      <w:marBottom w:val="0"/>
      <w:divBdr>
        <w:top w:val="none" w:sz="0" w:space="0" w:color="auto"/>
        <w:left w:val="none" w:sz="0" w:space="0" w:color="auto"/>
        <w:bottom w:val="none" w:sz="0" w:space="0" w:color="auto"/>
        <w:right w:val="none" w:sz="0" w:space="0" w:color="auto"/>
      </w:divBdr>
      <w:divsChild>
        <w:div w:id="60949821">
          <w:marLeft w:val="0"/>
          <w:marRight w:val="0"/>
          <w:marTop w:val="60"/>
          <w:marBottom w:val="60"/>
          <w:divBdr>
            <w:top w:val="none" w:sz="0" w:space="0" w:color="auto"/>
            <w:left w:val="none" w:sz="0" w:space="0" w:color="auto"/>
            <w:bottom w:val="none" w:sz="0" w:space="0" w:color="auto"/>
            <w:right w:val="none" w:sz="0" w:space="0" w:color="auto"/>
          </w:divBdr>
        </w:div>
      </w:divsChild>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 A S X _ C O M P L I A N C E ! 1 0 6 7 6 2 9 2 . 1 < / d o c u m e n t i d >  
     < s e n d e r i d > L I A N _ C < / s e n d e r i d >  
     < s e n d e r e m a i l > C O R E Y . L I A N @ A S X . C O M . A U < / s e n d e r e m a i l >  
     < l a s t m o d i f i e d > 2 0 2 4 - 0 1 - 0 3 T 1 6 : 3 6 : 0 0 . 0 0 0 0 0 0 0 + 1 1 : 0 0 < / l a s t m o d i f i e d >  
     < d a t a b a s e > A S X _ C O M P L I A N C E 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C8A059E39B8469F7EFB4CDD44EF36" ma:contentTypeVersion="" ma:contentTypeDescription="Create a new document." ma:contentTypeScope="" ma:versionID="4be3f58007ea78a9dd8134cc40a7dc1e">
  <xsd:schema xmlns:xsd="http://www.w3.org/2001/XMLSchema" xmlns:xs="http://www.w3.org/2001/XMLSchema" xmlns:p="http://schemas.microsoft.com/office/2006/metadata/properties" xmlns:ns2="e1dba1ad-6898-4967-b29f-c41ecb568b86" targetNamespace="http://schemas.microsoft.com/office/2006/metadata/properties" ma:root="true" ma:fieldsID="1e3067da6a71ff2feeab71765ca3b082" ns2:_="">
    <xsd:import namespace="e1dba1ad-6898-4967-b29f-c41ecb568b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a1ad-6898-4967-b29f-c41ecb568b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AE2B-CC72-43E9-BDFA-1F64C37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a1ad-6898-4967-b29f-c41ecb56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ACBC0-17A7-405E-B4AA-31EE35B6A6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C95E4-8A7F-47E2-AB20-2A1422DE3894}">
  <ds:schemaRefs>
    <ds:schemaRef ds:uri="http://schemas.microsoft.com/office/2006/metadata/longProperties"/>
  </ds:schemaRefs>
</ds:datastoreItem>
</file>

<file path=customXml/itemProps4.xml><?xml version="1.0" encoding="utf-8"?>
<ds:datastoreItem xmlns:ds="http://schemas.openxmlformats.org/officeDocument/2006/customXml" ds:itemID="{69CB18CA-7866-45D6-B386-051E55AF6C96}">
  <ds:schemaRefs>
    <ds:schemaRef ds:uri="http://schemas.microsoft.com/sharepoint/v3/contenttype/forms"/>
  </ds:schemaRefs>
</ds:datastoreItem>
</file>

<file path=customXml/itemProps5.xml><?xml version="1.0" encoding="utf-8"?>
<ds:datastoreItem xmlns:ds="http://schemas.openxmlformats.org/officeDocument/2006/customXml" ds:itemID="{DB5E156D-80E5-4FE6-A4E2-6711A1E0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ASX Listing Rules Appendix 3A.6 - Notification of call</vt:lpstr>
    </vt:vector>
  </TitlesOfParts>
  <Company>ASX</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Listing Rules Appendix 3A.6 - Notification of call</dc:title>
  <dc:subject/>
  <dc:creator>ASX</dc:creator>
  <cp:keywords/>
  <cp:lastModifiedBy>Corey Lian</cp:lastModifiedBy>
  <cp:revision>2</cp:revision>
  <cp:lastPrinted>2020-11-27T00:42:00Z</cp:lastPrinted>
  <dcterms:created xsi:type="dcterms:W3CDTF">2024-01-03T05:36:00Z</dcterms:created>
  <dcterms:modified xsi:type="dcterms:W3CDTF">2024-01-03T05:36:00Z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NV2RUKKQC5TK-751505620-193</vt:lpwstr>
  </property>
  <property fmtid="{D5CDD505-2E9C-101B-9397-08002B2CF9AE}" pid="3" name="_dlc_DocIdItemGuid">
    <vt:lpwstr>bd327a49-900e-4fd3-8829-19a8f788aca2</vt:lpwstr>
  </property>
  <property fmtid="{D5CDD505-2E9C-101B-9397-08002B2CF9AE}" pid="4" name="_dlc_DocIdUrl">
    <vt:lpwstr>http://projects/PWA/Corporate Actions STP Phase 2_18-14/_layouts/15/DocIdRedir.aspx?ID=NV2RUKKQC5TK-751505620-193, NV2RUKKQC5TK-751505620-193</vt:lpwstr>
  </property>
</Properties>
</file>